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644A1" w14:textId="77777777" w:rsidR="00FC037E" w:rsidRPr="00A97150" w:rsidRDefault="00FC037E" w:rsidP="001D4E62">
      <w:pPr>
        <w:spacing w:line="360" w:lineRule="auto"/>
        <w:jc w:val="center"/>
        <w:rPr>
          <w:rFonts w:asciiTheme="minorHAnsi" w:eastAsia="Calibri" w:hAnsiTheme="minorHAnsi" w:cstheme="minorHAnsi"/>
          <w:b/>
          <w:szCs w:val="22"/>
          <w:u w:val="single"/>
          <w:lang w:val="en-US" w:eastAsia="en-US"/>
        </w:rPr>
      </w:pPr>
    </w:p>
    <w:p w14:paraId="2D027526" w14:textId="77777777" w:rsidR="00E82EBB" w:rsidRPr="002E51CD" w:rsidRDefault="00E82EBB" w:rsidP="00E82EBB">
      <w:pPr>
        <w:pStyle w:val="Default"/>
        <w:jc w:val="center"/>
        <w:rPr>
          <w:rFonts w:asciiTheme="minorHAnsi" w:hAnsiTheme="minorHAnsi" w:cstheme="minorHAnsi"/>
          <w:b/>
          <w:sz w:val="22"/>
          <w:szCs w:val="22"/>
          <w:u w:val="single"/>
          <w:lang w:val="en-IN"/>
        </w:rPr>
      </w:pPr>
      <w:r w:rsidRPr="002E51CD">
        <w:rPr>
          <w:rFonts w:asciiTheme="minorHAnsi" w:hAnsiTheme="minorHAnsi" w:cstheme="minorHAnsi"/>
          <w:b/>
          <w:sz w:val="22"/>
          <w:szCs w:val="22"/>
          <w:u w:val="single"/>
          <w:lang w:val="en-IN"/>
        </w:rPr>
        <w:t xml:space="preserve">TENDER NOTICE </w:t>
      </w:r>
    </w:p>
    <w:p w14:paraId="52550453" w14:textId="57649F0F" w:rsidR="00E82EBB" w:rsidRPr="002E51CD" w:rsidRDefault="00E82EBB" w:rsidP="00E82EBB">
      <w:pPr>
        <w:pStyle w:val="Default"/>
        <w:jc w:val="center"/>
        <w:rPr>
          <w:rFonts w:asciiTheme="minorHAnsi" w:hAnsiTheme="minorHAnsi" w:cstheme="minorHAnsi"/>
          <w:b/>
          <w:sz w:val="22"/>
          <w:szCs w:val="22"/>
          <w:u w:val="single"/>
          <w:lang w:val="en-IN"/>
        </w:rPr>
      </w:pPr>
      <w:r w:rsidRPr="002E51CD">
        <w:rPr>
          <w:rFonts w:asciiTheme="minorHAnsi" w:hAnsiTheme="minorHAnsi" w:cstheme="minorHAnsi"/>
          <w:b/>
          <w:sz w:val="22"/>
          <w:szCs w:val="22"/>
          <w:u w:val="single"/>
          <w:lang w:val="en-IN"/>
        </w:rPr>
        <w:t>FOR</w:t>
      </w:r>
    </w:p>
    <w:p w14:paraId="1D9F9C51" w14:textId="659D0949" w:rsidR="00E82EBB" w:rsidRPr="00546FA7" w:rsidRDefault="00EC0797" w:rsidP="00E82EBB">
      <w:pPr>
        <w:contextualSpacing/>
        <w:jc w:val="center"/>
        <w:rPr>
          <w:rFonts w:asciiTheme="minorHAnsi" w:hAnsiTheme="minorHAnsi" w:cstheme="minorHAnsi"/>
          <w:b/>
          <w:szCs w:val="22"/>
          <w:lang w:val="en-IN"/>
        </w:rPr>
      </w:pPr>
      <w:r w:rsidRPr="00A42DFD">
        <w:rPr>
          <w:rFonts w:asciiTheme="minorHAnsi" w:eastAsiaTheme="minorEastAsia" w:hAnsiTheme="minorHAnsi" w:cstheme="minorHAnsi"/>
          <w:b/>
          <w:color w:val="000000"/>
          <w:szCs w:val="22"/>
          <w:u w:val="single"/>
          <w:lang w:val="en-IN" w:eastAsia="en-US"/>
        </w:rPr>
        <w:t xml:space="preserve">TECHNICAL SUPPORT IN </w:t>
      </w:r>
      <w:r>
        <w:rPr>
          <w:rFonts w:asciiTheme="minorHAnsi" w:eastAsiaTheme="minorEastAsia" w:hAnsiTheme="minorHAnsi" w:cstheme="minorHAnsi"/>
          <w:b/>
          <w:color w:val="000000"/>
          <w:szCs w:val="22"/>
          <w:u w:val="single"/>
          <w:lang w:val="en-IN" w:eastAsia="en-US"/>
        </w:rPr>
        <w:t>I</w:t>
      </w:r>
      <w:r w:rsidRPr="00A42DFD">
        <w:rPr>
          <w:rFonts w:asciiTheme="minorHAnsi" w:eastAsiaTheme="minorEastAsia" w:hAnsiTheme="minorHAnsi" w:cstheme="minorHAnsi"/>
          <w:b/>
          <w:color w:val="000000"/>
          <w:szCs w:val="22"/>
          <w:u w:val="single"/>
          <w:lang w:val="en-IN" w:eastAsia="en-US"/>
        </w:rPr>
        <w:t>MPLEMENTING CWRM</w:t>
      </w:r>
      <w:r>
        <w:rPr>
          <w:rFonts w:asciiTheme="minorHAnsi" w:eastAsiaTheme="minorEastAsia" w:hAnsiTheme="minorHAnsi" w:cstheme="minorHAnsi"/>
          <w:b/>
          <w:color w:val="000000"/>
          <w:szCs w:val="22"/>
          <w:u w:val="single"/>
          <w:lang w:val="en-IN" w:eastAsia="en-US"/>
        </w:rPr>
        <w:t xml:space="preserve"> PLANS</w:t>
      </w:r>
    </w:p>
    <w:p w14:paraId="681B14E2" w14:textId="77777777" w:rsidR="00B921E1" w:rsidRDefault="00B921E1" w:rsidP="00A97150">
      <w:pPr>
        <w:contextualSpacing/>
        <w:rPr>
          <w:rFonts w:asciiTheme="minorHAnsi" w:hAnsiTheme="minorHAnsi" w:cstheme="minorHAnsi"/>
          <w:b/>
          <w:szCs w:val="22"/>
          <w:lang w:val="en-GB"/>
        </w:rPr>
      </w:pPr>
    </w:p>
    <w:p w14:paraId="0175CFF0" w14:textId="337D470A" w:rsidR="00A97150" w:rsidRPr="002E51CD" w:rsidRDefault="00A97150" w:rsidP="00A97150">
      <w:pPr>
        <w:contextualSpacing/>
        <w:rPr>
          <w:rFonts w:asciiTheme="minorHAnsi" w:hAnsiTheme="minorHAnsi" w:cstheme="minorHAnsi"/>
          <w:b/>
          <w:szCs w:val="22"/>
          <w:lang w:val="en-GB"/>
        </w:rPr>
      </w:pPr>
      <w:r w:rsidRPr="002E51CD">
        <w:rPr>
          <w:rFonts w:asciiTheme="minorHAnsi" w:hAnsiTheme="minorHAnsi" w:cstheme="minorHAnsi"/>
          <w:b/>
          <w:szCs w:val="22"/>
          <w:lang w:val="en-GB"/>
        </w:rPr>
        <w:t>Background:</w:t>
      </w:r>
    </w:p>
    <w:p w14:paraId="503EAE68" w14:textId="4B3A50DC" w:rsidR="007035C3" w:rsidRPr="00546FA7" w:rsidRDefault="007035C3" w:rsidP="007035C3">
      <w:pPr>
        <w:autoSpaceDE w:val="0"/>
        <w:autoSpaceDN w:val="0"/>
        <w:adjustRightInd w:val="0"/>
        <w:jc w:val="both"/>
        <w:rPr>
          <w:rFonts w:asciiTheme="minorHAnsi" w:hAnsiTheme="minorHAnsi" w:cstheme="minorHAnsi"/>
          <w:lang w:val="en-IN" w:eastAsia="zh-CN"/>
        </w:rPr>
      </w:pPr>
      <w:r w:rsidRPr="00546FA7">
        <w:rPr>
          <w:rFonts w:asciiTheme="minorHAnsi" w:hAnsiTheme="minorHAnsi" w:cstheme="minorHAnsi"/>
          <w:lang w:val="en-IN" w:eastAsia="zh-CN"/>
        </w:rPr>
        <w:t xml:space="preserve">The Indo-German bilateral project ‘Water Security and Climate Adaptation in Rural India’ aims to improve water resource management through an integrated approach, taking climate change into account. The project works jointly with two political partners, namely the Ministry of Rural Development (MoRD) and the Ministry of Jal Shakti (MoJS; Ministry of Water). MoRD is responsible for the Mahatma Gandhi National Rural Employment Guarantee Act (MGNREGA), a national level public employment programme that provides up to 100 days of guaranteed annual employment to any rural Indian family demanding for unskilled work. As of July 2020, MGNREGA covers about 141.6 million families across rural India as registered beneficiaries, and around 69 billion EUR have been spent in the period from 2006 to 2019. WASCA, same as its predecessor project “Environmental Benefits of the Mahatma Gandhi National Rural Employment Guarantee Act” (MGNREGA-EB, PN 2012.2528.3), supports the implementation of MGNREGA by leveraging its outreach and financial resources to enhance environmental and climate co-benefits generated by MGNREGA employment measures. </w:t>
      </w:r>
      <w:r w:rsidRPr="00546FA7">
        <w:rPr>
          <w:rFonts w:asciiTheme="minorHAnsi" w:hAnsiTheme="minorHAnsi" w:cstheme="minorHAnsi"/>
          <w:lang w:val="en-IN"/>
        </w:rPr>
        <w:t xml:space="preserve">An agency is required to undertake an assignment to </w:t>
      </w:r>
      <w:bookmarkStart w:id="0" w:name="_Hlk56784904"/>
      <w:r w:rsidRPr="00546FA7">
        <w:rPr>
          <w:rFonts w:asciiTheme="minorHAnsi" w:hAnsiTheme="minorHAnsi" w:cstheme="minorHAnsi"/>
          <w:lang w:val="en-IN"/>
        </w:rPr>
        <w:t xml:space="preserve">develop </w:t>
      </w:r>
      <w:bookmarkEnd w:id="0"/>
      <w:r w:rsidR="00592A44" w:rsidRPr="00546FA7">
        <w:rPr>
          <w:rFonts w:asciiTheme="minorHAnsi" w:hAnsiTheme="minorHAnsi" w:cstheme="minorHAnsi"/>
          <w:b/>
          <w:bCs/>
          <w:lang w:val="en-IN"/>
        </w:rPr>
        <w:t xml:space="preserve">Technical Support in </w:t>
      </w:r>
      <w:r w:rsidR="00546FA7">
        <w:rPr>
          <w:rFonts w:asciiTheme="minorHAnsi" w:hAnsiTheme="minorHAnsi" w:cstheme="minorHAnsi"/>
          <w:b/>
          <w:bCs/>
          <w:lang w:val="en-IN"/>
        </w:rPr>
        <w:t>I</w:t>
      </w:r>
      <w:r w:rsidR="00592A44" w:rsidRPr="00546FA7">
        <w:rPr>
          <w:rFonts w:asciiTheme="minorHAnsi" w:hAnsiTheme="minorHAnsi" w:cstheme="minorHAnsi"/>
          <w:b/>
          <w:bCs/>
          <w:lang w:val="en-IN"/>
        </w:rPr>
        <w:t>mplementing CWRM</w:t>
      </w:r>
      <w:r w:rsidR="00546FA7">
        <w:rPr>
          <w:rFonts w:asciiTheme="minorHAnsi" w:hAnsiTheme="minorHAnsi" w:cstheme="minorHAnsi"/>
          <w:b/>
          <w:bCs/>
          <w:lang w:val="en-IN"/>
        </w:rPr>
        <w:t xml:space="preserve"> </w:t>
      </w:r>
      <w:r w:rsidR="00592A44" w:rsidRPr="00546FA7">
        <w:rPr>
          <w:rFonts w:asciiTheme="minorHAnsi" w:hAnsiTheme="minorHAnsi" w:cstheme="minorHAnsi"/>
          <w:b/>
          <w:bCs/>
          <w:lang w:val="en-IN"/>
        </w:rPr>
        <w:t>P</w:t>
      </w:r>
      <w:r w:rsidR="00546FA7">
        <w:rPr>
          <w:rFonts w:asciiTheme="minorHAnsi" w:hAnsiTheme="minorHAnsi" w:cstheme="minorHAnsi"/>
          <w:b/>
          <w:bCs/>
          <w:lang w:val="en-IN"/>
        </w:rPr>
        <w:t xml:space="preserve">lan </w:t>
      </w:r>
      <w:r w:rsidRPr="00546FA7">
        <w:rPr>
          <w:rFonts w:asciiTheme="minorHAnsi" w:hAnsiTheme="minorHAnsi" w:cstheme="minorHAnsi"/>
          <w:lang w:val="en-IN"/>
        </w:rPr>
        <w:t>under WASCA project</w:t>
      </w:r>
    </w:p>
    <w:p w14:paraId="7DBE5844" w14:textId="77777777" w:rsidR="00A97150" w:rsidRPr="002E51CD" w:rsidRDefault="00A97150" w:rsidP="00A97150">
      <w:pPr>
        <w:jc w:val="both"/>
        <w:rPr>
          <w:rFonts w:asciiTheme="minorHAnsi" w:hAnsiTheme="minorHAnsi" w:cstheme="minorHAnsi"/>
          <w:b/>
          <w:szCs w:val="22"/>
          <w:lang w:val="en-GB"/>
        </w:rPr>
      </w:pPr>
    </w:p>
    <w:p w14:paraId="45291704" w14:textId="77777777" w:rsidR="00A97150" w:rsidRPr="002E51CD" w:rsidRDefault="00A97150" w:rsidP="00A97150">
      <w:pPr>
        <w:contextualSpacing/>
        <w:rPr>
          <w:rFonts w:asciiTheme="minorHAnsi" w:hAnsiTheme="minorHAnsi" w:cstheme="minorHAnsi"/>
          <w:b/>
          <w:szCs w:val="22"/>
          <w:lang w:val="en-GB"/>
        </w:rPr>
      </w:pPr>
      <w:r w:rsidRPr="002E51CD">
        <w:rPr>
          <w:rFonts w:asciiTheme="minorHAnsi" w:hAnsiTheme="minorHAnsi" w:cstheme="minorHAnsi"/>
          <w:b/>
          <w:szCs w:val="22"/>
          <w:lang w:val="en-GB"/>
        </w:rPr>
        <w:t>Objectives:</w:t>
      </w:r>
    </w:p>
    <w:p w14:paraId="3CCD580D" w14:textId="77777777" w:rsidR="00A97150" w:rsidRPr="00546FA7" w:rsidRDefault="00A97150" w:rsidP="00A97150">
      <w:pPr>
        <w:widowControl w:val="0"/>
        <w:tabs>
          <w:tab w:val="left" w:pos="2085"/>
          <w:tab w:val="center" w:pos="4513"/>
        </w:tabs>
        <w:spacing w:before="240"/>
        <w:jc w:val="both"/>
        <w:rPr>
          <w:rFonts w:asciiTheme="minorHAnsi" w:hAnsiTheme="minorHAnsi" w:cstheme="minorHAnsi"/>
          <w:szCs w:val="22"/>
          <w:lang w:val="en-IN"/>
        </w:rPr>
      </w:pPr>
      <w:bookmarkStart w:id="1" w:name="_Hlk15220006"/>
      <w:r w:rsidRPr="00546FA7">
        <w:rPr>
          <w:rFonts w:asciiTheme="minorHAnsi" w:hAnsiTheme="minorHAnsi" w:cstheme="minorHAnsi"/>
          <w:szCs w:val="22"/>
          <w:lang w:val="en-IN"/>
        </w:rPr>
        <w:t>The specific objectives of the work are as follows:</w:t>
      </w:r>
    </w:p>
    <w:bookmarkEnd w:id="1"/>
    <w:p w14:paraId="268DFA44" w14:textId="77777777" w:rsidR="00555A75" w:rsidRPr="00555A75" w:rsidRDefault="00555A75" w:rsidP="00555A75">
      <w:pPr>
        <w:pStyle w:val="NoSpacing"/>
        <w:numPr>
          <w:ilvl w:val="0"/>
          <w:numId w:val="21"/>
        </w:numPr>
        <w:rPr>
          <w:rFonts w:asciiTheme="minorHAnsi" w:eastAsia="Times New Roman" w:hAnsiTheme="minorHAnsi" w:cstheme="minorHAnsi"/>
          <w:lang w:val="en-GB"/>
        </w:rPr>
      </w:pPr>
      <w:r w:rsidRPr="00555A75">
        <w:rPr>
          <w:rFonts w:asciiTheme="minorHAnsi" w:eastAsia="Times New Roman" w:hAnsiTheme="minorHAnsi" w:cstheme="minorHAnsi"/>
          <w:lang w:val="en-GB"/>
        </w:rPr>
        <w:t xml:space="preserve">Developing IT enabled platform (District WASCA Portal) </w:t>
      </w:r>
    </w:p>
    <w:p w14:paraId="2FC6BEB9" w14:textId="77777777" w:rsidR="00555A75" w:rsidRPr="00555A75" w:rsidRDefault="00555A75" w:rsidP="00555A75">
      <w:pPr>
        <w:pStyle w:val="NoSpacing"/>
        <w:numPr>
          <w:ilvl w:val="0"/>
          <w:numId w:val="21"/>
        </w:numPr>
        <w:rPr>
          <w:rFonts w:asciiTheme="minorHAnsi" w:eastAsia="Times New Roman" w:hAnsiTheme="minorHAnsi" w:cstheme="minorHAnsi"/>
          <w:lang w:val="en-GB"/>
        </w:rPr>
      </w:pPr>
      <w:r w:rsidRPr="00555A75">
        <w:rPr>
          <w:rFonts w:asciiTheme="minorHAnsi" w:eastAsia="Times New Roman" w:hAnsiTheme="minorHAnsi" w:cstheme="minorHAnsi"/>
          <w:lang w:val="en-GB"/>
        </w:rPr>
        <w:t>Facilitating implementation of approved District CWRM plans as per recommendation of DLSC &amp; SLSC</w:t>
      </w:r>
    </w:p>
    <w:p w14:paraId="768F85A3" w14:textId="77777777" w:rsidR="00555A75" w:rsidRPr="00555A75" w:rsidRDefault="00555A75" w:rsidP="00555A75">
      <w:pPr>
        <w:pStyle w:val="NoSpacing"/>
        <w:numPr>
          <w:ilvl w:val="0"/>
          <w:numId w:val="21"/>
        </w:numPr>
        <w:rPr>
          <w:rFonts w:asciiTheme="minorHAnsi" w:eastAsia="Times New Roman" w:hAnsiTheme="minorHAnsi" w:cstheme="minorHAnsi"/>
          <w:lang w:val="en-GB"/>
        </w:rPr>
      </w:pPr>
      <w:r w:rsidRPr="00555A75">
        <w:rPr>
          <w:rFonts w:asciiTheme="minorHAnsi" w:eastAsia="Times New Roman" w:hAnsiTheme="minorHAnsi" w:cstheme="minorHAnsi"/>
          <w:lang w:val="en-GB"/>
        </w:rPr>
        <w:t>Strengthening pilot implementation of site-specific climate resilient measures in coordination with CRD, DRDA</w:t>
      </w:r>
    </w:p>
    <w:p w14:paraId="7B06B486" w14:textId="77777777" w:rsidR="00555A75" w:rsidRPr="00555A75" w:rsidRDefault="00555A75" w:rsidP="00555A75">
      <w:pPr>
        <w:pStyle w:val="NoSpacing"/>
        <w:numPr>
          <w:ilvl w:val="0"/>
          <w:numId w:val="21"/>
        </w:numPr>
        <w:rPr>
          <w:rFonts w:asciiTheme="minorHAnsi" w:eastAsia="Times New Roman" w:hAnsiTheme="minorHAnsi" w:cstheme="minorHAnsi"/>
          <w:lang w:val="en-GB"/>
        </w:rPr>
      </w:pPr>
      <w:r w:rsidRPr="00555A75">
        <w:rPr>
          <w:rFonts w:asciiTheme="minorHAnsi" w:eastAsia="Times New Roman" w:hAnsiTheme="minorHAnsi" w:cstheme="minorHAnsi"/>
          <w:lang w:val="en-GB"/>
        </w:rPr>
        <w:t>Develop capacity building, policy advocacy, documentation &amp; IEC</w:t>
      </w:r>
    </w:p>
    <w:p w14:paraId="4B4871B0" w14:textId="77777777" w:rsidR="00555A75" w:rsidRPr="00555A75" w:rsidRDefault="00555A75" w:rsidP="00555A75">
      <w:pPr>
        <w:pStyle w:val="NoSpacing"/>
        <w:numPr>
          <w:ilvl w:val="0"/>
          <w:numId w:val="21"/>
        </w:numPr>
        <w:rPr>
          <w:rFonts w:asciiTheme="minorHAnsi" w:eastAsia="Times New Roman" w:hAnsiTheme="minorHAnsi" w:cstheme="minorHAnsi"/>
          <w:lang w:val="en-GB"/>
        </w:rPr>
      </w:pPr>
      <w:r w:rsidRPr="00555A75">
        <w:rPr>
          <w:rFonts w:asciiTheme="minorHAnsi" w:eastAsia="Times New Roman" w:hAnsiTheme="minorHAnsi" w:cstheme="minorHAnsi"/>
          <w:lang w:val="en-GB"/>
        </w:rPr>
        <w:t xml:space="preserve">Facilitate private sector partnerships in Project area  </w:t>
      </w:r>
    </w:p>
    <w:p w14:paraId="3EBE82C4" w14:textId="353E5444" w:rsidR="00592A44" w:rsidRPr="00592A44" w:rsidRDefault="00592A44" w:rsidP="00555A75">
      <w:pPr>
        <w:pStyle w:val="NoSpacing"/>
        <w:ind w:left="490"/>
        <w:rPr>
          <w:rFonts w:asciiTheme="minorHAnsi" w:hAnsiTheme="minorHAnsi" w:cstheme="minorHAnsi"/>
          <w:lang w:val="en-GB"/>
        </w:rPr>
      </w:pPr>
    </w:p>
    <w:p w14:paraId="2F15CD55" w14:textId="77777777" w:rsidR="00E82EBB" w:rsidRPr="00546FA7" w:rsidRDefault="00E82EBB" w:rsidP="00E82EBB">
      <w:pPr>
        <w:pStyle w:val="NoSpacing"/>
        <w:jc w:val="both"/>
        <w:rPr>
          <w:rFonts w:asciiTheme="minorHAnsi" w:hAnsiTheme="minorHAnsi" w:cstheme="minorHAnsi"/>
          <w:b/>
          <w:bCs/>
          <w:color w:val="FFFFFF"/>
          <w:lang w:val="en-IN"/>
        </w:rPr>
      </w:pPr>
      <w:r w:rsidRPr="00546FA7">
        <w:rPr>
          <w:rFonts w:asciiTheme="minorHAnsi" w:hAnsiTheme="minorHAnsi" w:cstheme="minorHAnsi"/>
          <w:b/>
          <w:bCs/>
          <w:color w:val="FFFFFF"/>
          <w:highlight w:val="red"/>
          <w:lang w:val="en-IN"/>
        </w:rPr>
        <w:t>Please refer to the bidding conditions and follow the instructions carefully.</w:t>
      </w:r>
    </w:p>
    <w:p w14:paraId="72730E37" w14:textId="77777777" w:rsidR="00E82EBB" w:rsidRPr="00546FA7" w:rsidRDefault="00E82EBB" w:rsidP="00E82EBB">
      <w:pPr>
        <w:pStyle w:val="NoSpacing"/>
        <w:jc w:val="both"/>
        <w:rPr>
          <w:rFonts w:asciiTheme="minorHAnsi" w:hAnsiTheme="minorHAnsi" w:cstheme="minorHAnsi"/>
          <w:b/>
          <w:bCs/>
          <w:color w:val="FFFFFF"/>
          <w:lang w:val="en-IN"/>
        </w:rPr>
      </w:pPr>
    </w:p>
    <w:p w14:paraId="0A329792" w14:textId="77777777" w:rsidR="00A97150" w:rsidRPr="002E51CD" w:rsidRDefault="00A97150" w:rsidP="00A97150">
      <w:pPr>
        <w:rPr>
          <w:rFonts w:asciiTheme="minorHAnsi" w:hAnsiTheme="minorHAnsi" w:cstheme="minorHAnsi"/>
          <w:szCs w:val="22"/>
          <w:lang w:val="en-GB"/>
        </w:rPr>
      </w:pPr>
      <w:r w:rsidRPr="002E51CD">
        <w:rPr>
          <w:rFonts w:asciiTheme="minorHAnsi" w:hAnsiTheme="minorHAnsi" w:cstheme="minorHAnsi"/>
          <w:szCs w:val="22"/>
          <w:lang w:val="en-GB"/>
        </w:rPr>
        <w:t>The detailed documentation with regards to this call for proposals includes:</w:t>
      </w:r>
    </w:p>
    <w:p w14:paraId="51ED755C" w14:textId="43322ECD" w:rsidR="00A97150" w:rsidRPr="002E51CD" w:rsidRDefault="00A97150" w:rsidP="009E319E">
      <w:pPr>
        <w:pStyle w:val="ListParagraph"/>
        <w:numPr>
          <w:ilvl w:val="0"/>
          <w:numId w:val="22"/>
        </w:numPr>
        <w:spacing w:after="200"/>
        <w:rPr>
          <w:rFonts w:asciiTheme="minorHAnsi" w:hAnsiTheme="minorHAnsi" w:cstheme="minorHAnsi"/>
          <w:szCs w:val="22"/>
          <w:lang w:val="en-GB"/>
        </w:rPr>
      </w:pPr>
      <w:r w:rsidRPr="002E51CD">
        <w:rPr>
          <w:rFonts w:asciiTheme="minorHAnsi" w:hAnsiTheme="minorHAnsi" w:cstheme="minorHAnsi"/>
          <w:szCs w:val="22"/>
          <w:lang w:val="en-GB"/>
        </w:rPr>
        <w:t>The Terms of Reference for the Assignment</w:t>
      </w:r>
    </w:p>
    <w:p w14:paraId="773A35BA" w14:textId="2B14D06A" w:rsidR="007035C3" w:rsidRPr="002E51CD" w:rsidRDefault="007035C3" w:rsidP="009E319E">
      <w:pPr>
        <w:pStyle w:val="ListParagraph"/>
        <w:numPr>
          <w:ilvl w:val="0"/>
          <w:numId w:val="22"/>
        </w:numPr>
        <w:spacing w:after="200"/>
        <w:rPr>
          <w:rFonts w:asciiTheme="minorHAnsi" w:hAnsiTheme="minorHAnsi" w:cstheme="minorHAnsi"/>
          <w:szCs w:val="22"/>
          <w:lang w:val="en-GB"/>
        </w:rPr>
      </w:pPr>
      <w:r w:rsidRPr="002E51CD">
        <w:rPr>
          <w:rFonts w:asciiTheme="minorHAnsi" w:hAnsiTheme="minorHAnsi" w:cstheme="minorHAnsi"/>
          <w:szCs w:val="22"/>
          <w:lang w:val="en-GB"/>
        </w:rPr>
        <w:t>The Assessing Eligibility Grid</w:t>
      </w:r>
    </w:p>
    <w:p w14:paraId="1DBC228A" w14:textId="77777777" w:rsidR="00A97150" w:rsidRPr="002E51CD" w:rsidRDefault="00A97150" w:rsidP="009E319E">
      <w:pPr>
        <w:pStyle w:val="ListParagraph"/>
        <w:numPr>
          <w:ilvl w:val="0"/>
          <w:numId w:val="22"/>
        </w:numPr>
        <w:spacing w:after="200"/>
        <w:rPr>
          <w:rFonts w:asciiTheme="minorHAnsi" w:hAnsiTheme="minorHAnsi" w:cstheme="minorHAnsi"/>
          <w:szCs w:val="22"/>
          <w:lang w:val="en-GB"/>
        </w:rPr>
      </w:pPr>
      <w:r w:rsidRPr="002E51CD">
        <w:rPr>
          <w:rFonts w:asciiTheme="minorHAnsi" w:hAnsiTheme="minorHAnsi" w:cstheme="minorHAnsi"/>
          <w:szCs w:val="22"/>
          <w:lang w:val="en-GB"/>
        </w:rPr>
        <w:t xml:space="preserve">The Technical Evaluation Grid </w:t>
      </w:r>
    </w:p>
    <w:p w14:paraId="5585D2FC" w14:textId="77777777" w:rsidR="00A97150" w:rsidRPr="002E51CD" w:rsidRDefault="00A97150" w:rsidP="009E319E">
      <w:pPr>
        <w:pStyle w:val="ListParagraph"/>
        <w:numPr>
          <w:ilvl w:val="0"/>
          <w:numId w:val="22"/>
        </w:numPr>
        <w:spacing w:after="200"/>
        <w:rPr>
          <w:rFonts w:asciiTheme="minorHAnsi" w:hAnsiTheme="minorHAnsi" w:cstheme="minorHAnsi"/>
          <w:szCs w:val="22"/>
          <w:lang w:val="en-GB"/>
        </w:rPr>
      </w:pPr>
      <w:r w:rsidRPr="002E51CD">
        <w:rPr>
          <w:rFonts w:asciiTheme="minorHAnsi" w:hAnsiTheme="minorHAnsi" w:cstheme="minorHAnsi"/>
          <w:szCs w:val="22"/>
          <w:lang w:val="en-GB"/>
        </w:rPr>
        <w:t>Bidding Conditions</w:t>
      </w:r>
    </w:p>
    <w:p w14:paraId="09FBF8FF" w14:textId="46A25223" w:rsidR="00A97150" w:rsidRDefault="00A97150" w:rsidP="009E319E">
      <w:pPr>
        <w:pStyle w:val="ListParagraph"/>
        <w:numPr>
          <w:ilvl w:val="0"/>
          <w:numId w:val="22"/>
        </w:numPr>
        <w:spacing w:after="200"/>
        <w:rPr>
          <w:rFonts w:asciiTheme="minorHAnsi" w:hAnsiTheme="minorHAnsi" w:cstheme="minorHAnsi"/>
          <w:szCs w:val="22"/>
          <w:lang w:val="en-GB"/>
        </w:rPr>
      </w:pPr>
      <w:r w:rsidRPr="002E51CD">
        <w:rPr>
          <w:rFonts w:asciiTheme="minorHAnsi" w:hAnsiTheme="minorHAnsi" w:cstheme="minorHAnsi"/>
          <w:szCs w:val="22"/>
          <w:lang w:val="en-GB"/>
        </w:rPr>
        <w:t>The General Terms &amp; Conditions of Contracts</w:t>
      </w:r>
    </w:p>
    <w:p w14:paraId="5C35DCC9" w14:textId="77B96606" w:rsidR="009E319E" w:rsidRPr="002E51CD" w:rsidRDefault="009E319E" w:rsidP="009E319E">
      <w:pPr>
        <w:pStyle w:val="ListParagraph"/>
        <w:numPr>
          <w:ilvl w:val="0"/>
          <w:numId w:val="22"/>
        </w:numPr>
        <w:spacing w:after="200"/>
        <w:rPr>
          <w:rFonts w:asciiTheme="minorHAnsi" w:hAnsiTheme="minorHAnsi" w:cstheme="minorHAnsi"/>
          <w:szCs w:val="22"/>
          <w:lang w:val="en-GB"/>
        </w:rPr>
      </w:pPr>
      <w:r>
        <w:rPr>
          <w:rFonts w:asciiTheme="minorHAnsi" w:hAnsiTheme="minorHAnsi" w:cstheme="minorHAnsi"/>
          <w:szCs w:val="22"/>
          <w:lang w:val="en-GB"/>
        </w:rPr>
        <w:t>Annexures to Terms of Reference</w:t>
      </w:r>
    </w:p>
    <w:p w14:paraId="044D75FE" w14:textId="77777777" w:rsidR="00B921E1" w:rsidRDefault="00B921E1" w:rsidP="00E360A0">
      <w:pPr>
        <w:jc w:val="both"/>
        <w:rPr>
          <w:rFonts w:asciiTheme="minorHAnsi" w:hAnsiTheme="minorHAnsi" w:cstheme="minorHAnsi"/>
          <w:szCs w:val="22"/>
          <w:highlight w:val="yellow"/>
          <w:u w:val="single"/>
          <w:lang w:val="en-GB"/>
        </w:rPr>
      </w:pPr>
    </w:p>
    <w:p w14:paraId="01A2EE09" w14:textId="78FC5B74" w:rsidR="00E360A0" w:rsidRPr="002E51CD" w:rsidRDefault="00E360A0" w:rsidP="00E360A0">
      <w:pPr>
        <w:jc w:val="both"/>
        <w:rPr>
          <w:rStyle w:val="FontStyle21"/>
          <w:rFonts w:asciiTheme="minorHAnsi" w:hAnsiTheme="minorHAnsi" w:cstheme="minorHAnsi"/>
          <w:b w:val="0"/>
          <w:bCs w:val="0"/>
          <w:color w:val="auto"/>
          <w:sz w:val="22"/>
          <w:szCs w:val="22"/>
          <w:u w:val="single"/>
          <w:lang w:val="en-GB"/>
        </w:rPr>
      </w:pPr>
      <w:r w:rsidRPr="002E51CD">
        <w:rPr>
          <w:rFonts w:asciiTheme="minorHAnsi" w:hAnsiTheme="minorHAnsi" w:cstheme="minorHAnsi"/>
          <w:szCs w:val="22"/>
          <w:highlight w:val="yellow"/>
          <w:u w:val="single"/>
          <w:lang w:val="en-GB"/>
        </w:rPr>
        <w:t>Tender timelines</w:t>
      </w:r>
      <w:r w:rsidR="00E82EBB" w:rsidRPr="002E51CD">
        <w:rPr>
          <w:rFonts w:asciiTheme="minorHAnsi" w:hAnsiTheme="minorHAnsi" w:cstheme="minorHAnsi"/>
          <w:szCs w:val="22"/>
          <w:highlight w:val="yellow"/>
          <w:u w:val="single"/>
          <w:lang w:val="en-GB"/>
        </w:rPr>
        <w:t>:</w:t>
      </w:r>
    </w:p>
    <w:p w14:paraId="51325A78" w14:textId="162F39F1" w:rsidR="00E82EBB" w:rsidRPr="002E51CD" w:rsidRDefault="00E82EBB" w:rsidP="00E82EBB">
      <w:pPr>
        <w:pStyle w:val="Style3"/>
        <w:widowControl/>
        <w:numPr>
          <w:ilvl w:val="0"/>
          <w:numId w:val="15"/>
        </w:numPr>
        <w:shd w:val="clear" w:color="auto" w:fill="FFFFFF"/>
        <w:adjustRightInd/>
        <w:spacing w:line="499" w:lineRule="exact"/>
        <w:rPr>
          <w:rStyle w:val="FontStyle21"/>
          <w:rFonts w:asciiTheme="minorHAnsi" w:eastAsiaTheme="minorHAnsi" w:hAnsiTheme="minorHAnsi" w:cstheme="minorHAnsi"/>
          <w:sz w:val="22"/>
          <w:szCs w:val="22"/>
        </w:rPr>
      </w:pPr>
      <w:r w:rsidRPr="002E51CD">
        <w:rPr>
          <w:rStyle w:val="FontStyle21"/>
          <w:rFonts w:asciiTheme="minorHAnsi" w:hAnsiTheme="minorHAnsi" w:cstheme="minorHAnsi"/>
          <w:sz w:val="22"/>
          <w:szCs w:val="22"/>
        </w:rPr>
        <w:t xml:space="preserve">Deadline to receive queries: </w:t>
      </w:r>
      <w:r w:rsidR="00E500DA">
        <w:rPr>
          <w:rStyle w:val="FontStyle21"/>
          <w:rFonts w:asciiTheme="minorHAnsi" w:hAnsiTheme="minorHAnsi" w:cstheme="minorHAnsi"/>
          <w:sz w:val="22"/>
          <w:szCs w:val="22"/>
        </w:rPr>
        <w:tab/>
      </w:r>
      <w:r w:rsidR="00E500DA">
        <w:rPr>
          <w:rStyle w:val="FontStyle21"/>
          <w:rFonts w:asciiTheme="minorHAnsi" w:hAnsiTheme="minorHAnsi" w:cstheme="minorHAnsi"/>
          <w:sz w:val="22"/>
          <w:szCs w:val="22"/>
        </w:rPr>
        <w:tab/>
      </w:r>
      <w:r w:rsidR="00E500DA">
        <w:rPr>
          <w:rStyle w:val="FontStyle21"/>
          <w:rFonts w:asciiTheme="minorHAnsi" w:hAnsiTheme="minorHAnsi" w:cstheme="minorHAnsi"/>
          <w:sz w:val="22"/>
          <w:szCs w:val="22"/>
        </w:rPr>
        <w:tab/>
      </w:r>
      <w:r w:rsidR="00E500DA" w:rsidRPr="00E500DA">
        <w:rPr>
          <w:rStyle w:val="FontStyle21"/>
          <w:rFonts w:asciiTheme="minorHAnsi" w:hAnsiTheme="minorHAnsi" w:cstheme="minorHAnsi"/>
          <w:sz w:val="22"/>
          <w:szCs w:val="22"/>
        </w:rPr>
        <w:t>11th March 2021</w:t>
      </w:r>
    </w:p>
    <w:p w14:paraId="13C5A183" w14:textId="05BC543C" w:rsidR="00E82EBB" w:rsidRPr="002E51CD" w:rsidRDefault="00E82EBB" w:rsidP="00E82EBB">
      <w:pPr>
        <w:pStyle w:val="Style3"/>
        <w:widowControl/>
        <w:numPr>
          <w:ilvl w:val="0"/>
          <w:numId w:val="15"/>
        </w:numPr>
        <w:shd w:val="clear" w:color="auto" w:fill="FFFFFF"/>
        <w:adjustRightInd/>
        <w:spacing w:line="499" w:lineRule="exact"/>
        <w:rPr>
          <w:rStyle w:val="FontStyle21"/>
          <w:rFonts w:asciiTheme="minorHAnsi" w:hAnsiTheme="minorHAnsi" w:cstheme="minorHAnsi"/>
          <w:sz w:val="22"/>
          <w:szCs w:val="22"/>
        </w:rPr>
      </w:pPr>
      <w:r w:rsidRPr="002E51CD">
        <w:rPr>
          <w:rStyle w:val="FontStyle21"/>
          <w:rFonts w:asciiTheme="minorHAnsi" w:hAnsiTheme="minorHAnsi" w:cstheme="minorHAnsi"/>
          <w:sz w:val="22"/>
          <w:szCs w:val="22"/>
        </w:rPr>
        <w:t xml:space="preserve">Clarifications to the queries: </w:t>
      </w:r>
      <w:r w:rsidR="00E500DA">
        <w:rPr>
          <w:rStyle w:val="FontStyle21"/>
          <w:rFonts w:asciiTheme="minorHAnsi" w:hAnsiTheme="minorHAnsi" w:cstheme="minorHAnsi"/>
          <w:sz w:val="22"/>
          <w:szCs w:val="22"/>
        </w:rPr>
        <w:tab/>
      </w:r>
      <w:r w:rsidR="00E500DA">
        <w:rPr>
          <w:rStyle w:val="FontStyle21"/>
          <w:rFonts w:asciiTheme="minorHAnsi" w:hAnsiTheme="minorHAnsi" w:cstheme="minorHAnsi"/>
          <w:sz w:val="22"/>
          <w:szCs w:val="22"/>
        </w:rPr>
        <w:tab/>
      </w:r>
      <w:r w:rsidR="00E500DA">
        <w:rPr>
          <w:rStyle w:val="FontStyle21"/>
          <w:rFonts w:asciiTheme="minorHAnsi" w:hAnsiTheme="minorHAnsi" w:cstheme="minorHAnsi"/>
          <w:sz w:val="22"/>
          <w:szCs w:val="22"/>
        </w:rPr>
        <w:tab/>
      </w:r>
      <w:r w:rsidR="00E500DA" w:rsidRPr="00E500DA">
        <w:rPr>
          <w:rStyle w:val="FontStyle21"/>
          <w:rFonts w:asciiTheme="minorHAnsi" w:hAnsiTheme="minorHAnsi" w:cstheme="minorHAnsi"/>
          <w:sz w:val="22"/>
          <w:szCs w:val="22"/>
        </w:rPr>
        <w:t>16th March 2021</w:t>
      </w:r>
    </w:p>
    <w:p w14:paraId="1FD1D1FE" w14:textId="24F826D0" w:rsidR="00E82EBB" w:rsidRPr="002E51CD" w:rsidRDefault="00E82EBB" w:rsidP="00E82EBB">
      <w:pPr>
        <w:pStyle w:val="Style3"/>
        <w:widowControl/>
        <w:numPr>
          <w:ilvl w:val="0"/>
          <w:numId w:val="15"/>
        </w:numPr>
        <w:shd w:val="clear" w:color="auto" w:fill="FFFFFF"/>
        <w:adjustRightInd/>
        <w:spacing w:line="499" w:lineRule="exact"/>
        <w:rPr>
          <w:rStyle w:val="FontStyle21"/>
          <w:rFonts w:asciiTheme="minorHAnsi" w:hAnsiTheme="minorHAnsi" w:cstheme="minorHAnsi"/>
          <w:sz w:val="22"/>
          <w:szCs w:val="22"/>
        </w:rPr>
      </w:pPr>
      <w:r w:rsidRPr="002E51CD">
        <w:rPr>
          <w:rStyle w:val="FontStyle21"/>
          <w:rFonts w:asciiTheme="minorHAnsi" w:hAnsiTheme="minorHAnsi" w:cstheme="minorHAnsi"/>
          <w:sz w:val="22"/>
          <w:szCs w:val="22"/>
        </w:rPr>
        <w:t>The deadline for submission of proposal is:</w:t>
      </w:r>
      <w:r w:rsidRPr="002E51CD">
        <w:rPr>
          <w:rStyle w:val="FontStyle21"/>
          <w:rFonts w:asciiTheme="minorHAnsi" w:hAnsiTheme="minorHAnsi" w:cstheme="minorHAnsi"/>
          <w:color w:val="FF0000"/>
          <w:sz w:val="22"/>
          <w:szCs w:val="22"/>
        </w:rPr>
        <w:t xml:space="preserve"> </w:t>
      </w:r>
      <w:r w:rsidR="002E51CD" w:rsidRPr="002E51CD">
        <w:rPr>
          <w:rStyle w:val="FontStyle21"/>
          <w:rFonts w:asciiTheme="minorHAnsi" w:hAnsiTheme="minorHAnsi" w:cstheme="minorHAnsi"/>
          <w:color w:val="FF0000"/>
          <w:sz w:val="22"/>
          <w:szCs w:val="22"/>
        </w:rPr>
        <w:t xml:space="preserve"> </w:t>
      </w:r>
      <w:r w:rsidR="00E500DA">
        <w:rPr>
          <w:rStyle w:val="FontStyle21"/>
          <w:rFonts w:asciiTheme="minorHAnsi" w:hAnsiTheme="minorHAnsi" w:cstheme="minorHAnsi"/>
          <w:color w:val="FF0000"/>
          <w:sz w:val="22"/>
          <w:szCs w:val="22"/>
        </w:rPr>
        <w:tab/>
      </w:r>
      <w:r w:rsidR="00E500DA" w:rsidRPr="00E500DA">
        <w:rPr>
          <w:rStyle w:val="FontStyle21"/>
          <w:rFonts w:asciiTheme="minorHAnsi" w:hAnsiTheme="minorHAnsi" w:cstheme="minorHAnsi"/>
          <w:color w:val="FF0000"/>
          <w:sz w:val="22"/>
          <w:szCs w:val="22"/>
        </w:rPr>
        <w:t>25th March 2021</w:t>
      </w:r>
    </w:p>
    <w:p w14:paraId="261A5464" w14:textId="77777777" w:rsidR="00690992" w:rsidRPr="002E51CD" w:rsidRDefault="00690992" w:rsidP="00690992">
      <w:pPr>
        <w:pStyle w:val="Style11"/>
        <w:widowControl/>
        <w:shd w:val="clear" w:color="auto" w:fill="FFFFFF"/>
        <w:spacing w:before="10" w:line="312" w:lineRule="exact"/>
        <w:ind w:left="10" w:right="93"/>
        <w:rPr>
          <w:rStyle w:val="FontStyle20"/>
          <w:rFonts w:asciiTheme="minorHAnsi" w:eastAsiaTheme="majorEastAsia" w:hAnsiTheme="minorHAnsi" w:cstheme="minorHAnsi"/>
          <w:sz w:val="22"/>
          <w:szCs w:val="22"/>
        </w:rPr>
      </w:pPr>
    </w:p>
    <w:p w14:paraId="5E74E399" w14:textId="5698268A" w:rsidR="0087177D" w:rsidRDefault="00690992" w:rsidP="00D72035">
      <w:pPr>
        <w:pStyle w:val="Style11"/>
        <w:widowControl/>
        <w:shd w:val="clear" w:color="auto" w:fill="FFFFFF"/>
        <w:spacing w:before="10" w:line="312" w:lineRule="exact"/>
        <w:ind w:left="10" w:right="93"/>
        <w:rPr>
          <w:rStyle w:val="FontStyle20"/>
          <w:rFonts w:asciiTheme="minorHAnsi" w:eastAsiaTheme="majorEastAsia" w:hAnsiTheme="minorHAnsi" w:cstheme="minorHAnsi"/>
          <w:sz w:val="22"/>
          <w:szCs w:val="22"/>
        </w:rPr>
      </w:pPr>
      <w:r w:rsidRPr="002E51CD">
        <w:rPr>
          <w:rStyle w:val="FontStyle20"/>
          <w:rFonts w:asciiTheme="minorHAnsi" w:eastAsiaTheme="majorEastAsia" w:hAnsiTheme="minorHAnsi" w:cstheme="minorHAnsi"/>
          <w:sz w:val="22"/>
          <w:szCs w:val="22"/>
        </w:rPr>
        <w:t>GIZ reserves the right to cancel/modify this tender and /or reject a bid document including subsequently a technical and financial proposal, without assigning any reasons</w:t>
      </w:r>
      <w:r w:rsidR="001F4D21" w:rsidRPr="002E51CD">
        <w:rPr>
          <w:rStyle w:val="FontStyle20"/>
          <w:rFonts w:asciiTheme="minorHAnsi" w:eastAsiaTheme="majorEastAsia" w:hAnsiTheme="minorHAnsi" w:cstheme="minorHAnsi"/>
          <w:sz w:val="22"/>
          <w:szCs w:val="22"/>
        </w:rPr>
        <w:t>.</w:t>
      </w:r>
    </w:p>
    <w:p w14:paraId="260B57B2" w14:textId="1C302028" w:rsidR="00B921E1" w:rsidRDefault="00B921E1" w:rsidP="00D72035">
      <w:pPr>
        <w:pStyle w:val="Style11"/>
        <w:widowControl/>
        <w:shd w:val="clear" w:color="auto" w:fill="FFFFFF"/>
        <w:spacing w:before="10" w:line="312" w:lineRule="exact"/>
        <w:ind w:left="10" w:right="93"/>
        <w:rPr>
          <w:rStyle w:val="FontStyle20"/>
          <w:rFonts w:asciiTheme="minorHAnsi" w:eastAsiaTheme="majorEastAsia" w:hAnsiTheme="minorHAnsi" w:cstheme="minorHAnsi"/>
          <w:sz w:val="22"/>
          <w:szCs w:val="22"/>
        </w:rPr>
      </w:pPr>
    </w:p>
    <w:p w14:paraId="7D4E65DC" w14:textId="5B785C64" w:rsidR="00B921E1" w:rsidRPr="00B921E1" w:rsidRDefault="00B921E1" w:rsidP="00B921E1">
      <w:pPr>
        <w:pStyle w:val="gmail-m-4670398845297504799style3"/>
        <w:shd w:val="clear" w:color="auto" w:fill="FFFFFF"/>
        <w:spacing w:before="0" w:beforeAutospacing="0" w:after="0" w:afterAutospacing="0"/>
        <w:jc w:val="both"/>
        <w:rPr>
          <w:rFonts w:ascii="Arial" w:hAnsi="Arial" w:cs="Arial"/>
          <w:b/>
          <w:bCs/>
          <w:i/>
          <w:iCs/>
          <w:color w:val="000099"/>
          <w:sz w:val="20"/>
          <w:szCs w:val="20"/>
        </w:rPr>
      </w:pPr>
      <w:r>
        <w:rPr>
          <w:rFonts w:asciiTheme="minorHAnsi" w:hAnsiTheme="minorHAnsi" w:cstheme="minorHAnsi"/>
          <w:b/>
          <w:bCs/>
          <w:i/>
          <w:iCs/>
          <w:lang w:val="en-GB"/>
        </w:rPr>
        <w:t>I</w:t>
      </w:r>
      <w:r w:rsidRPr="00FF5B9D">
        <w:rPr>
          <w:rFonts w:asciiTheme="minorHAnsi" w:hAnsiTheme="minorHAnsi" w:cstheme="minorHAnsi"/>
          <w:b/>
          <w:bCs/>
          <w:i/>
          <w:iCs/>
          <w:lang w:val="en-GB"/>
        </w:rPr>
        <w:t>t is construed that all the terms and conditions of the tender package are acceptable and agreed upon by the participating company. No negotiations/changes to the GTCC shall be acceptable at a later stage.</w:t>
      </w:r>
    </w:p>
    <w:sectPr w:rsidR="00B921E1" w:rsidRPr="00B921E1" w:rsidSect="006E4B98">
      <w:headerReference w:type="default" r:id="rId8"/>
      <w:pgSz w:w="11906" w:h="16838" w:code="9"/>
      <w:pgMar w:top="1440" w:right="991" w:bottom="0" w:left="993"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1D976" w14:textId="77777777" w:rsidR="00750F90" w:rsidRDefault="00750F90" w:rsidP="00A637D0">
      <w:r>
        <w:separator/>
      </w:r>
    </w:p>
  </w:endnote>
  <w:endnote w:type="continuationSeparator" w:id="0">
    <w:p w14:paraId="6A6FA198" w14:textId="77777777" w:rsidR="00750F90" w:rsidRDefault="00750F90"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2A2D4" w14:textId="77777777" w:rsidR="00750F90" w:rsidRDefault="00750F90" w:rsidP="00A637D0">
      <w:r>
        <w:separator/>
      </w:r>
    </w:p>
  </w:footnote>
  <w:footnote w:type="continuationSeparator" w:id="0">
    <w:p w14:paraId="3F991F3D" w14:textId="77777777" w:rsidR="00750F90" w:rsidRDefault="00750F90" w:rsidP="00A6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EEC7" w14:textId="6F0A4A85" w:rsidR="00E963FC" w:rsidRPr="003D007D" w:rsidRDefault="00FC037E" w:rsidP="003D007D">
    <w:pPr>
      <w:pStyle w:val="Header"/>
      <w:rPr>
        <w:sz w:val="2"/>
        <w:szCs w:val="2"/>
      </w:rPr>
    </w:pPr>
    <w:r>
      <w:rPr>
        <w:noProof/>
      </w:rPr>
      <w:drawing>
        <wp:anchor distT="0" distB="0" distL="114300" distR="114300" simplePos="0" relativeHeight="251659264" behindDoc="0" locked="0" layoutInCell="1" allowOverlap="1" wp14:anchorId="78D9B850" wp14:editId="4BFE61D7">
          <wp:simplePos x="0" y="0"/>
          <wp:positionH relativeFrom="margin">
            <wp:posOffset>4846320</wp:posOffset>
          </wp:positionH>
          <wp:positionV relativeFrom="paragraph">
            <wp:posOffset>18415</wp:posOffset>
          </wp:positionV>
          <wp:extent cx="1638300" cy="711200"/>
          <wp:effectExtent l="0" t="0" r="0" b="0"/>
          <wp:wrapThrough wrapText="bothSides">
            <wp:wrapPolygon edited="0">
              <wp:start x="0" y="0"/>
              <wp:lineTo x="0" y="20829"/>
              <wp:lineTo x="21349" y="20829"/>
              <wp:lineTo x="21349" y="0"/>
              <wp:lineTo x="0" y="0"/>
            </wp:wrapPolygon>
          </wp:wrapThrough>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1E2D5E"/>
    <w:multiLevelType w:val="hybridMultilevel"/>
    <w:tmpl w:val="539CE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1F7844"/>
    <w:multiLevelType w:val="hybridMultilevel"/>
    <w:tmpl w:val="4128E9D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E6218"/>
    <w:multiLevelType w:val="hybridMultilevel"/>
    <w:tmpl w:val="F84E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7079"/>
    <w:multiLevelType w:val="hybridMultilevel"/>
    <w:tmpl w:val="63A4280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C594C"/>
    <w:multiLevelType w:val="hybridMultilevel"/>
    <w:tmpl w:val="FACCEC5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A7AF4"/>
    <w:multiLevelType w:val="hybridMultilevel"/>
    <w:tmpl w:val="787000F8"/>
    <w:lvl w:ilvl="0" w:tplc="1E585DBE">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167ABE"/>
    <w:multiLevelType w:val="hybridMultilevel"/>
    <w:tmpl w:val="566AA90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4FEC477F"/>
    <w:multiLevelType w:val="multilevel"/>
    <w:tmpl w:val="346C6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2D175C2"/>
    <w:multiLevelType w:val="hybridMultilevel"/>
    <w:tmpl w:val="2F86857E"/>
    <w:lvl w:ilvl="0" w:tplc="04070001">
      <w:start w:val="1"/>
      <w:numFmt w:val="bullet"/>
      <w:lvlText w:val=""/>
      <w:lvlJc w:val="left"/>
      <w:pPr>
        <w:ind w:left="490" w:hanging="425"/>
      </w:pPr>
      <w:rPr>
        <w:rFonts w:ascii="Symbol" w:hAnsi="Symbol" w:hint="default"/>
      </w:rPr>
    </w:lvl>
    <w:lvl w:ilvl="1" w:tplc="04070001">
      <w:start w:val="1"/>
      <w:numFmt w:val="bullet"/>
      <w:lvlText w:val=""/>
      <w:lvlJc w:val="left"/>
      <w:pPr>
        <w:ind w:left="490" w:hanging="425"/>
      </w:pPr>
      <w:rPr>
        <w:rFonts w:ascii="Symbol" w:hAnsi="Symbol" w:hint="default"/>
      </w:rPr>
    </w:lvl>
    <w:lvl w:ilvl="2" w:tplc="04070005">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9" w15:restartNumberingAfterBreak="0">
    <w:nsid w:val="68653BCA"/>
    <w:multiLevelType w:val="hybridMultilevel"/>
    <w:tmpl w:val="ECB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D3FF4"/>
    <w:multiLevelType w:val="hybridMultilevel"/>
    <w:tmpl w:val="6924F67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7D131C7D"/>
    <w:multiLevelType w:val="hybridMultilevel"/>
    <w:tmpl w:val="1DF4A4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5"/>
  </w:num>
  <w:num w:numId="13">
    <w:abstractNumId w:val="19"/>
  </w:num>
  <w:num w:numId="14">
    <w:abstractNumId w:val="20"/>
  </w:num>
  <w:num w:numId="15">
    <w:abstractNumId w:val="16"/>
  </w:num>
  <w:num w:numId="16">
    <w:abstractNumId w:val="14"/>
  </w:num>
  <w:num w:numId="17">
    <w:abstractNumId w:val="11"/>
  </w:num>
  <w:num w:numId="18">
    <w:abstractNumId w:val="21"/>
  </w:num>
  <w:num w:numId="19">
    <w:abstractNumId w:val="17"/>
  </w:num>
  <w:num w:numId="20">
    <w:abstractNumId w:val="12"/>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B5"/>
    <w:rsid w:val="000051FB"/>
    <w:rsid w:val="000304BC"/>
    <w:rsid w:val="00040805"/>
    <w:rsid w:val="000775BD"/>
    <w:rsid w:val="00082332"/>
    <w:rsid w:val="000A04C7"/>
    <w:rsid w:val="000A1E50"/>
    <w:rsid w:val="000A5C66"/>
    <w:rsid w:val="000B4802"/>
    <w:rsid w:val="000E2A6D"/>
    <w:rsid w:val="000F1C7E"/>
    <w:rsid w:val="00106D24"/>
    <w:rsid w:val="00112883"/>
    <w:rsid w:val="001130BA"/>
    <w:rsid w:val="00117C56"/>
    <w:rsid w:val="00122B7C"/>
    <w:rsid w:val="00132484"/>
    <w:rsid w:val="0014313F"/>
    <w:rsid w:val="00165E31"/>
    <w:rsid w:val="00181CE1"/>
    <w:rsid w:val="00190868"/>
    <w:rsid w:val="001A2AD0"/>
    <w:rsid w:val="001C07C7"/>
    <w:rsid w:val="001C23E4"/>
    <w:rsid w:val="001C7481"/>
    <w:rsid w:val="001D4E62"/>
    <w:rsid w:val="001D5A83"/>
    <w:rsid w:val="001F4D21"/>
    <w:rsid w:val="00205815"/>
    <w:rsid w:val="002532B6"/>
    <w:rsid w:val="0025359C"/>
    <w:rsid w:val="002616A5"/>
    <w:rsid w:val="00265587"/>
    <w:rsid w:val="00282D3A"/>
    <w:rsid w:val="00287A89"/>
    <w:rsid w:val="00290A80"/>
    <w:rsid w:val="002C318A"/>
    <w:rsid w:val="002C6383"/>
    <w:rsid w:val="002E51CD"/>
    <w:rsid w:val="00323069"/>
    <w:rsid w:val="003306FA"/>
    <w:rsid w:val="00333EFE"/>
    <w:rsid w:val="00334E36"/>
    <w:rsid w:val="003376F0"/>
    <w:rsid w:val="003505E3"/>
    <w:rsid w:val="003637F1"/>
    <w:rsid w:val="003704B0"/>
    <w:rsid w:val="00374792"/>
    <w:rsid w:val="00374F00"/>
    <w:rsid w:val="003834FE"/>
    <w:rsid w:val="00385BC0"/>
    <w:rsid w:val="003D007D"/>
    <w:rsid w:val="003E628C"/>
    <w:rsid w:val="003F40F9"/>
    <w:rsid w:val="003F6EC9"/>
    <w:rsid w:val="004435ED"/>
    <w:rsid w:val="00455ADB"/>
    <w:rsid w:val="004626D7"/>
    <w:rsid w:val="00463EC1"/>
    <w:rsid w:val="00466305"/>
    <w:rsid w:val="004666E2"/>
    <w:rsid w:val="004779AF"/>
    <w:rsid w:val="004875DF"/>
    <w:rsid w:val="004878C0"/>
    <w:rsid w:val="0049307C"/>
    <w:rsid w:val="004A1160"/>
    <w:rsid w:val="004A7486"/>
    <w:rsid w:val="004A768F"/>
    <w:rsid w:val="004B2075"/>
    <w:rsid w:val="004E11DA"/>
    <w:rsid w:val="0052066D"/>
    <w:rsid w:val="00520F2D"/>
    <w:rsid w:val="00546FA7"/>
    <w:rsid w:val="00555A75"/>
    <w:rsid w:val="005566A8"/>
    <w:rsid w:val="00556F98"/>
    <w:rsid w:val="00570943"/>
    <w:rsid w:val="00592A44"/>
    <w:rsid w:val="005A1001"/>
    <w:rsid w:val="005D500F"/>
    <w:rsid w:val="00601B2E"/>
    <w:rsid w:val="00602060"/>
    <w:rsid w:val="00613B92"/>
    <w:rsid w:val="00624C5E"/>
    <w:rsid w:val="00625191"/>
    <w:rsid w:val="00631709"/>
    <w:rsid w:val="00643D73"/>
    <w:rsid w:val="0064403B"/>
    <w:rsid w:val="00651C4C"/>
    <w:rsid w:val="00690992"/>
    <w:rsid w:val="00696438"/>
    <w:rsid w:val="00696EB4"/>
    <w:rsid w:val="006B04F5"/>
    <w:rsid w:val="006B2596"/>
    <w:rsid w:val="006E2E2F"/>
    <w:rsid w:val="006E3DC2"/>
    <w:rsid w:val="006E4B98"/>
    <w:rsid w:val="006E6025"/>
    <w:rsid w:val="006F643B"/>
    <w:rsid w:val="007035C3"/>
    <w:rsid w:val="00722877"/>
    <w:rsid w:val="00750F90"/>
    <w:rsid w:val="00752AC5"/>
    <w:rsid w:val="00791620"/>
    <w:rsid w:val="00792350"/>
    <w:rsid w:val="00795901"/>
    <w:rsid w:val="007A6895"/>
    <w:rsid w:val="007A70D6"/>
    <w:rsid w:val="007B14B5"/>
    <w:rsid w:val="007C6098"/>
    <w:rsid w:val="007D626A"/>
    <w:rsid w:val="007F1D9F"/>
    <w:rsid w:val="00824179"/>
    <w:rsid w:val="0084330D"/>
    <w:rsid w:val="00847F0B"/>
    <w:rsid w:val="008567BF"/>
    <w:rsid w:val="00856CFA"/>
    <w:rsid w:val="0087177D"/>
    <w:rsid w:val="00880B21"/>
    <w:rsid w:val="00883A92"/>
    <w:rsid w:val="00891027"/>
    <w:rsid w:val="0089344E"/>
    <w:rsid w:val="008B3A65"/>
    <w:rsid w:val="008C00BE"/>
    <w:rsid w:val="008C2CA6"/>
    <w:rsid w:val="008F5FAD"/>
    <w:rsid w:val="009113BC"/>
    <w:rsid w:val="009654AB"/>
    <w:rsid w:val="009752D1"/>
    <w:rsid w:val="009A13D5"/>
    <w:rsid w:val="009B0471"/>
    <w:rsid w:val="009B0BA2"/>
    <w:rsid w:val="009C501B"/>
    <w:rsid w:val="009E319E"/>
    <w:rsid w:val="009E4E08"/>
    <w:rsid w:val="009E7E71"/>
    <w:rsid w:val="00A13972"/>
    <w:rsid w:val="00A16A11"/>
    <w:rsid w:val="00A42DFD"/>
    <w:rsid w:val="00A637D0"/>
    <w:rsid w:val="00A97150"/>
    <w:rsid w:val="00AA0BB3"/>
    <w:rsid w:val="00AB331C"/>
    <w:rsid w:val="00AC0E75"/>
    <w:rsid w:val="00AC21C9"/>
    <w:rsid w:val="00AE6941"/>
    <w:rsid w:val="00B23BBF"/>
    <w:rsid w:val="00B86CC5"/>
    <w:rsid w:val="00B87B9A"/>
    <w:rsid w:val="00B921E1"/>
    <w:rsid w:val="00B936BE"/>
    <w:rsid w:val="00B969D6"/>
    <w:rsid w:val="00BA06E5"/>
    <w:rsid w:val="00BA1957"/>
    <w:rsid w:val="00BD65D1"/>
    <w:rsid w:val="00BE09A4"/>
    <w:rsid w:val="00BE1BCB"/>
    <w:rsid w:val="00BF07BC"/>
    <w:rsid w:val="00BF1DB5"/>
    <w:rsid w:val="00C065BE"/>
    <w:rsid w:val="00C1422E"/>
    <w:rsid w:val="00C177A6"/>
    <w:rsid w:val="00C261DE"/>
    <w:rsid w:val="00C33501"/>
    <w:rsid w:val="00C35797"/>
    <w:rsid w:val="00C6733D"/>
    <w:rsid w:val="00C67592"/>
    <w:rsid w:val="00C76E1E"/>
    <w:rsid w:val="00C8797B"/>
    <w:rsid w:val="00CC41DD"/>
    <w:rsid w:val="00D103E8"/>
    <w:rsid w:val="00D2054F"/>
    <w:rsid w:val="00D268F2"/>
    <w:rsid w:val="00D54F77"/>
    <w:rsid w:val="00D72035"/>
    <w:rsid w:val="00D96739"/>
    <w:rsid w:val="00DB14D4"/>
    <w:rsid w:val="00DB29F4"/>
    <w:rsid w:val="00DB4CD3"/>
    <w:rsid w:val="00DD1E24"/>
    <w:rsid w:val="00DD54D4"/>
    <w:rsid w:val="00DD592E"/>
    <w:rsid w:val="00DE6D89"/>
    <w:rsid w:val="00DF340A"/>
    <w:rsid w:val="00DF6E8E"/>
    <w:rsid w:val="00E00A39"/>
    <w:rsid w:val="00E143D3"/>
    <w:rsid w:val="00E360A0"/>
    <w:rsid w:val="00E40D82"/>
    <w:rsid w:val="00E46413"/>
    <w:rsid w:val="00E500DA"/>
    <w:rsid w:val="00E534D5"/>
    <w:rsid w:val="00E62B79"/>
    <w:rsid w:val="00E82EBB"/>
    <w:rsid w:val="00E9115F"/>
    <w:rsid w:val="00E963FC"/>
    <w:rsid w:val="00E97AEF"/>
    <w:rsid w:val="00EB78CA"/>
    <w:rsid w:val="00EC0797"/>
    <w:rsid w:val="00EC7752"/>
    <w:rsid w:val="00ED67E0"/>
    <w:rsid w:val="00ED6C47"/>
    <w:rsid w:val="00EF6AF9"/>
    <w:rsid w:val="00F13AB8"/>
    <w:rsid w:val="00F17175"/>
    <w:rsid w:val="00F571C1"/>
    <w:rsid w:val="00F7183F"/>
    <w:rsid w:val="00F72712"/>
    <w:rsid w:val="00F7699B"/>
    <w:rsid w:val="00FC037E"/>
    <w:rsid w:val="00FD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D0F89"/>
  <w15:docId w15:val="{3E6D71DE-4A9A-4015-92A1-09F772C5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A83"/>
    <w:pPr>
      <w:spacing w:after="0" w:line="240" w:lineRule="auto"/>
    </w:pPr>
    <w:rPr>
      <w:rFonts w:ascii="Arial" w:eastAsia="Times New Roman" w:hAnsi="Arial" w:cs="Times New Roman"/>
      <w:szCs w:val="20"/>
      <w:lang w:eastAsia="de-DE"/>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eastAsiaTheme="majorEastAsia" w:cstheme="majorBidi"/>
      <w:b/>
      <w:bCs/>
      <w:sz w:val="28"/>
      <w:szCs w:val="28"/>
      <w:lang w:eastAsia="en-US"/>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eastAsiaTheme="majorEastAsia" w:cstheme="majorBidi"/>
      <w:b/>
      <w:bCs/>
      <w:sz w:val="24"/>
      <w:szCs w:val="26"/>
      <w:lang w:eastAsia="en-US"/>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heme="majorEastAsia" w:cstheme="majorBidi"/>
      <w:b/>
      <w:bCs/>
      <w:szCs w:val="22"/>
      <w:lang w:eastAsia="en-U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rPr>
      <w:rFonts w:eastAsiaTheme="minorHAnsi" w:cstheme="minorBidi"/>
      <w:szCs w:val="22"/>
      <w:lang w:eastAsia="en-US"/>
    </w:r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nhideWhenUsed/>
    <w:rsid w:val="00A637D0"/>
    <w:pPr>
      <w:tabs>
        <w:tab w:val="center" w:pos="4536"/>
        <w:tab w:val="right" w:pos="9072"/>
      </w:tabs>
    </w:pPr>
    <w:rPr>
      <w:rFonts w:eastAsiaTheme="minorHAnsi" w:cstheme="minorBidi"/>
      <w:szCs w:val="22"/>
      <w:lang w:eastAsia="en-US"/>
    </w:rPr>
  </w:style>
  <w:style w:type="character" w:customStyle="1" w:styleId="FooterChar">
    <w:name w:val="Footer Char"/>
    <w:basedOn w:val="DefaultParagraphFont"/>
    <w:link w:val="Footer"/>
    <w:uiPriority w:val="4"/>
    <w:rsid w:val="00DE6D89"/>
  </w:style>
  <w:style w:type="paragraph" w:styleId="BalloonText">
    <w:name w:val="Balloon Text"/>
    <w:basedOn w:val="Normal"/>
    <w:link w:val="BalloonTextChar"/>
    <w:uiPriority w:val="99"/>
    <w:semiHidden/>
    <w:unhideWhenUsed/>
    <w:rsid w:val="00A637D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semiHidden/>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1"/>
    <w:unhideWhenUsed/>
    <w:qFormat/>
    <w:rsid w:val="000F1C7E"/>
    <w:rPr>
      <w:rFonts w:eastAsiaTheme="minorHAnsi" w:cstheme="minorBidi"/>
      <w:szCs w:val="22"/>
      <w:lang w:eastAsia="en-US"/>
    </w:rPr>
  </w:style>
  <w:style w:type="table" w:styleId="TableGrid">
    <w:name w:val="Table Grid"/>
    <w:basedOn w:val="TableNormal"/>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ListParagraph">
    <w:name w:val="List Paragraph"/>
    <w:aliases w:val="List Paragraph1,Evidence on Demand bullet points,Bullet List Paragraph,Use Case List Paragraph,normal,Heading 2_sj,Dot pt,Numbered Para 1,No Spacing1,List Paragraph Char Char Char,Indicator Text,Bullet 1,Bullet Points,MAIN CONTENT,ANNEX"/>
    <w:basedOn w:val="Normal"/>
    <w:link w:val="ListParagraphChar"/>
    <w:uiPriority w:val="34"/>
    <w:qFormat/>
    <w:rsid w:val="003D007D"/>
    <w:pPr>
      <w:ind w:left="720"/>
      <w:contextualSpacing/>
    </w:pPr>
  </w:style>
  <w:style w:type="character" w:styleId="CommentReference">
    <w:name w:val="annotation reference"/>
    <w:basedOn w:val="DefaultParagraphFont"/>
    <w:uiPriority w:val="99"/>
    <w:unhideWhenUsed/>
    <w:rsid w:val="00DD54D4"/>
    <w:rPr>
      <w:sz w:val="16"/>
      <w:szCs w:val="16"/>
    </w:rPr>
  </w:style>
  <w:style w:type="paragraph" w:styleId="CommentText">
    <w:name w:val="annotation text"/>
    <w:basedOn w:val="Normal"/>
    <w:link w:val="CommentTextChar"/>
    <w:uiPriority w:val="99"/>
    <w:unhideWhenUsed/>
    <w:rsid w:val="00DD54D4"/>
    <w:rPr>
      <w:sz w:val="20"/>
    </w:rPr>
  </w:style>
  <w:style w:type="character" w:customStyle="1" w:styleId="CommentTextChar">
    <w:name w:val="Comment Text Char"/>
    <w:basedOn w:val="DefaultParagraphFont"/>
    <w:link w:val="CommentText"/>
    <w:uiPriority w:val="99"/>
    <w:rsid w:val="00DD54D4"/>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DD54D4"/>
    <w:rPr>
      <w:b/>
      <w:bCs/>
    </w:rPr>
  </w:style>
  <w:style w:type="character" w:customStyle="1" w:styleId="CommentSubjectChar">
    <w:name w:val="Comment Subject Char"/>
    <w:basedOn w:val="CommentTextChar"/>
    <w:link w:val="CommentSubject"/>
    <w:uiPriority w:val="99"/>
    <w:semiHidden/>
    <w:rsid w:val="00DD54D4"/>
    <w:rPr>
      <w:rFonts w:ascii="Arial" w:eastAsia="Times New Roman" w:hAnsi="Arial" w:cs="Times New Roman"/>
      <w:b/>
      <w:bCs/>
      <w:sz w:val="20"/>
      <w:szCs w:val="20"/>
      <w:lang w:eastAsia="de-DE"/>
    </w:rPr>
  </w:style>
  <w:style w:type="paragraph" w:styleId="Revision">
    <w:name w:val="Revision"/>
    <w:hidden/>
    <w:uiPriority w:val="99"/>
    <w:semiHidden/>
    <w:rsid w:val="001C7481"/>
    <w:pPr>
      <w:spacing w:after="0" w:line="240" w:lineRule="auto"/>
    </w:pPr>
    <w:rPr>
      <w:rFonts w:ascii="Arial" w:eastAsia="Times New Roman" w:hAnsi="Arial" w:cs="Times New Roman"/>
      <w:szCs w:val="20"/>
      <w:lang w:eastAsia="de-DE"/>
    </w:rPr>
  </w:style>
  <w:style w:type="paragraph" w:styleId="BodyText2">
    <w:name w:val="Body Text 2"/>
    <w:basedOn w:val="Normal"/>
    <w:link w:val="BodyText2Char"/>
    <w:rsid w:val="006B2596"/>
    <w:pPr>
      <w:tabs>
        <w:tab w:val="left" w:pos="426"/>
      </w:tabs>
      <w:spacing w:line="160" w:lineRule="exact"/>
      <w:jc w:val="both"/>
    </w:pPr>
    <w:rPr>
      <w:sz w:val="15"/>
    </w:rPr>
  </w:style>
  <w:style w:type="character" w:customStyle="1" w:styleId="BodyText2Char">
    <w:name w:val="Body Text 2 Char"/>
    <w:basedOn w:val="DefaultParagraphFont"/>
    <w:link w:val="BodyText2"/>
    <w:rsid w:val="006B2596"/>
    <w:rPr>
      <w:rFonts w:ascii="Arial" w:eastAsia="Times New Roman" w:hAnsi="Arial" w:cs="Times New Roman"/>
      <w:sz w:val="15"/>
      <w:szCs w:val="20"/>
      <w:lang w:eastAsia="de-DE"/>
    </w:rPr>
  </w:style>
  <w:style w:type="paragraph" w:customStyle="1" w:styleId="SpiegelB">
    <w:name w:val="Spiegel (B)"/>
    <w:basedOn w:val="Normal"/>
    <w:rsid w:val="00690992"/>
    <w:pPr>
      <w:tabs>
        <w:tab w:val="left" w:pos="7371"/>
      </w:tabs>
      <w:spacing w:line="360" w:lineRule="atLeast"/>
      <w:ind w:left="1276" w:hanging="426"/>
    </w:pPr>
  </w:style>
  <w:style w:type="paragraph" w:customStyle="1" w:styleId="Style11">
    <w:name w:val="Style11"/>
    <w:basedOn w:val="Normal"/>
    <w:uiPriority w:val="99"/>
    <w:rsid w:val="00690992"/>
    <w:pPr>
      <w:widowControl w:val="0"/>
      <w:autoSpaceDE w:val="0"/>
      <w:autoSpaceDN w:val="0"/>
      <w:adjustRightInd w:val="0"/>
      <w:spacing w:line="298" w:lineRule="exact"/>
      <w:jc w:val="both"/>
    </w:pPr>
    <w:rPr>
      <w:rFonts w:cs="Arial"/>
      <w:sz w:val="24"/>
      <w:szCs w:val="24"/>
      <w:lang w:val="en-US" w:eastAsia="en-US"/>
    </w:rPr>
  </w:style>
  <w:style w:type="character" w:customStyle="1" w:styleId="FontStyle20">
    <w:name w:val="Font Style20"/>
    <w:uiPriority w:val="99"/>
    <w:rsid w:val="00690992"/>
    <w:rPr>
      <w:rFonts w:ascii="Arial" w:hAnsi="Arial" w:cs="Arial"/>
      <w:b/>
      <w:bCs/>
      <w:i/>
      <w:iCs/>
      <w:color w:val="000000"/>
      <w:sz w:val="20"/>
      <w:szCs w:val="20"/>
    </w:rPr>
  </w:style>
  <w:style w:type="paragraph" w:customStyle="1" w:styleId="Style15">
    <w:name w:val="Style15"/>
    <w:basedOn w:val="Normal"/>
    <w:uiPriority w:val="99"/>
    <w:rsid w:val="00690992"/>
    <w:pPr>
      <w:widowControl w:val="0"/>
      <w:autoSpaceDE w:val="0"/>
      <w:autoSpaceDN w:val="0"/>
      <w:adjustRightInd w:val="0"/>
      <w:spacing w:line="542" w:lineRule="exact"/>
    </w:pPr>
    <w:rPr>
      <w:rFonts w:cs="Arial"/>
      <w:sz w:val="24"/>
      <w:szCs w:val="24"/>
      <w:lang w:val="en-US" w:eastAsia="en-US"/>
    </w:rPr>
  </w:style>
  <w:style w:type="character" w:customStyle="1" w:styleId="FontStyle21">
    <w:name w:val="Font Style21"/>
    <w:uiPriority w:val="99"/>
    <w:rsid w:val="00690992"/>
    <w:rPr>
      <w:rFonts w:ascii="Arial" w:hAnsi="Arial" w:cs="Arial" w:hint="default"/>
      <w:b/>
      <w:bCs/>
      <w:color w:val="000000"/>
      <w:sz w:val="20"/>
      <w:szCs w:val="20"/>
    </w:rPr>
  </w:style>
  <w:style w:type="character" w:styleId="Hyperlink">
    <w:name w:val="Hyperlink"/>
    <w:basedOn w:val="DefaultParagraphFont"/>
    <w:uiPriority w:val="99"/>
    <w:unhideWhenUsed/>
    <w:rsid w:val="00556F98"/>
    <w:rPr>
      <w:color w:val="0000FF" w:themeColor="hyperlink"/>
      <w:u w:val="single"/>
    </w:rPr>
  </w:style>
  <w:style w:type="character" w:styleId="UnresolvedMention">
    <w:name w:val="Unresolved Mention"/>
    <w:basedOn w:val="DefaultParagraphFont"/>
    <w:uiPriority w:val="99"/>
    <w:semiHidden/>
    <w:unhideWhenUsed/>
    <w:rsid w:val="00556F98"/>
    <w:rPr>
      <w:color w:val="605E5C"/>
      <w:shd w:val="clear" w:color="auto" w:fill="E1DFDD"/>
    </w:rPr>
  </w:style>
  <w:style w:type="paragraph" w:customStyle="1" w:styleId="Default">
    <w:name w:val="Default"/>
    <w:rsid w:val="00E82EBB"/>
    <w:pPr>
      <w:autoSpaceDE w:val="0"/>
      <w:autoSpaceDN w:val="0"/>
      <w:adjustRightInd w:val="0"/>
      <w:spacing w:after="0" w:line="240" w:lineRule="auto"/>
    </w:pPr>
    <w:rPr>
      <w:rFonts w:ascii="Calibri" w:eastAsiaTheme="minorEastAsia" w:hAnsi="Calibri" w:cs="Calibri"/>
      <w:color w:val="000000"/>
      <w:sz w:val="24"/>
      <w:szCs w:val="24"/>
      <w:lang w:val="en-US"/>
    </w:rPr>
  </w:style>
  <w:style w:type="character" w:customStyle="1" w:styleId="ListParagraphChar">
    <w:name w:val="List Paragraph Char"/>
    <w:aliases w:val="List Paragraph1 Char,Evidence on Demand bullet points Char,Bullet List Paragraph Char,Use Case List Paragraph Char,normal Char,Heading 2_sj Char,Dot pt Char,Numbered Para 1 Char,No Spacing1 Char,List Paragraph Char Char Char Char"/>
    <w:link w:val="ListParagraph"/>
    <w:uiPriority w:val="34"/>
    <w:qFormat/>
    <w:locked/>
    <w:rsid w:val="00E82EBB"/>
    <w:rPr>
      <w:rFonts w:ascii="Arial" w:eastAsia="Times New Roman" w:hAnsi="Arial" w:cs="Times New Roman"/>
      <w:szCs w:val="20"/>
      <w:lang w:eastAsia="de-DE"/>
    </w:rPr>
  </w:style>
  <w:style w:type="paragraph" w:customStyle="1" w:styleId="Style3">
    <w:name w:val="Style3"/>
    <w:basedOn w:val="Normal"/>
    <w:uiPriority w:val="99"/>
    <w:rsid w:val="00E82EBB"/>
    <w:pPr>
      <w:widowControl w:val="0"/>
      <w:autoSpaceDE w:val="0"/>
      <w:autoSpaceDN w:val="0"/>
      <w:adjustRightInd w:val="0"/>
      <w:jc w:val="both"/>
    </w:pPr>
    <w:rPr>
      <w:rFonts w:cs="Arial"/>
      <w:sz w:val="24"/>
      <w:szCs w:val="24"/>
      <w:lang w:val="en-US" w:eastAsia="en-US"/>
    </w:rPr>
  </w:style>
  <w:style w:type="paragraph" w:customStyle="1" w:styleId="gmail-m-4670398845297504799style3">
    <w:name w:val="gmail-m_-4670398845297504799style3"/>
    <w:basedOn w:val="Normal"/>
    <w:rsid w:val="00B921E1"/>
    <w:pPr>
      <w:spacing w:before="100" w:beforeAutospacing="1" w:after="100" w:afterAutospacing="1"/>
    </w:pPr>
    <w:rPr>
      <w:rFonts w:ascii="Calibri" w:eastAsiaTheme="minorHAnsi" w:hAnsi="Calibri" w:cs="Calibri"/>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387104">
      <w:bodyDiv w:val="1"/>
      <w:marLeft w:val="0"/>
      <w:marRight w:val="0"/>
      <w:marTop w:val="0"/>
      <w:marBottom w:val="0"/>
      <w:divBdr>
        <w:top w:val="none" w:sz="0" w:space="0" w:color="auto"/>
        <w:left w:val="none" w:sz="0" w:space="0" w:color="auto"/>
        <w:bottom w:val="none" w:sz="0" w:space="0" w:color="auto"/>
        <w:right w:val="none" w:sz="0" w:space="0" w:color="auto"/>
      </w:divBdr>
      <w:divsChild>
        <w:div w:id="62458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_san\Downloads\Neutrality_clau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8C2C-428E-4339-90DA-79A98F14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Neutrality_clause</Template>
  <TotalTime>8</TotalTime>
  <Pages>1</Pages>
  <Words>403</Words>
  <Characters>2302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GTZ GmbH</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Sanjay Dhar</dc:creator>
  <cp:lastModifiedBy>Bhatnagar, Sakshi GIZ IN</cp:lastModifiedBy>
  <cp:revision>9</cp:revision>
  <cp:lastPrinted>2011-10-18T12:48:00Z</cp:lastPrinted>
  <dcterms:created xsi:type="dcterms:W3CDTF">2021-02-01T13:02:00Z</dcterms:created>
  <dcterms:modified xsi:type="dcterms:W3CDTF">2021-03-05T09:34:00Z</dcterms:modified>
</cp:coreProperties>
</file>