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87DD" w14:textId="4B6A0B83" w:rsidR="00420A9A" w:rsidRPr="00693271" w:rsidRDefault="00693271" w:rsidP="008E4356">
      <w:pPr>
        <w:pStyle w:val="Default"/>
        <w:jc w:val="center"/>
        <w:rPr>
          <w:rFonts w:asciiTheme="minorHAnsi" w:hAnsiTheme="minorHAnsi" w:cstheme="minorHAnsi"/>
          <w:b/>
          <w:sz w:val="22"/>
          <w:szCs w:val="22"/>
          <w:u w:val="single"/>
          <w:lang w:val="en-IN"/>
        </w:rPr>
      </w:pPr>
      <w:r w:rsidRPr="00693271">
        <w:rPr>
          <w:rFonts w:asciiTheme="minorHAnsi" w:hAnsiTheme="minorHAnsi" w:cstheme="minorHAnsi"/>
          <w:b/>
          <w:sz w:val="22"/>
          <w:szCs w:val="22"/>
          <w:u w:val="single"/>
          <w:lang w:val="en-IN"/>
        </w:rPr>
        <w:t>TENDER NOTICE</w:t>
      </w:r>
    </w:p>
    <w:p w14:paraId="12946F92" w14:textId="1A214DC6" w:rsidR="003C29FB" w:rsidRPr="00693271" w:rsidRDefault="00693271" w:rsidP="008E4356">
      <w:pPr>
        <w:pStyle w:val="Default"/>
        <w:jc w:val="center"/>
        <w:rPr>
          <w:rFonts w:asciiTheme="minorHAnsi" w:hAnsiTheme="minorHAnsi" w:cstheme="minorHAnsi"/>
          <w:b/>
          <w:sz w:val="22"/>
          <w:szCs w:val="22"/>
          <w:u w:val="single"/>
          <w:lang w:val="en-IN"/>
        </w:rPr>
      </w:pPr>
      <w:r w:rsidRPr="00693271">
        <w:rPr>
          <w:rFonts w:asciiTheme="minorHAnsi" w:hAnsiTheme="minorHAnsi" w:cstheme="minorHAnsi"/>
          <w:b/>
          <w:sz w:val="22"/>
          <w:szCs w:val="22"/>
          <w:u w:val="single"/>
          <w:lang w:val="en-IN"/>
        </w:rPr>
        <w:t>FOR</w:t>
      </w:r>
    </w:p>
    <w:p w14:paraId="706C5E5E" w14:textId="16F7D136" w:rsidR="00420A9A" w:rsidRPr="00693271" w:rsidRDefault="00693271" w:rsidP="008E4356">
      <w:pPr>
        <w:pStyle w:val="Default"/>
        <w:jc w:val="center"/>
        <w:rPr>
          <w:rFonts w:asciiTheme="minorHAnsi" w:hAnsiTheme="minorHAnsi" w:cstheme="minorHAnsi"/>
          <w:b/>
          <w:sz w:val="22"/>
          <w:szCs w:val="22"/>
          <w:u w:val="single"/>
          <w:lang w:val="en-IN"/>
        </w:rPr>
      </w:pPr>
      <w:r w:rsidRPr="00693271">
        <w:rPr>
          <w:rFonts w:asciiTheme="minorHAnsi" w:hAnsiTheme="minorHAnsi" w:cstheme="minorHAnsi"/>
          <w:b/>
          <w:sz w:val="22"/>
          <w:szCs w:val="22"/>
          <w:u w:val="single"/>
          <w:lang w:val="en-IN"/>
        </w:rPr>
        <w:t>FINANCIAL INSTITUTION FOR HOSTING THE RISK SHARING FACILITY (RSF) AS PART OF THE WASTE SOLUTIONS FOR A CIRCULAR ECONOMY IN INDIA PROJECT</w:t>
      </w:r>
    </w:p>
    <w:p w14:paraId="2A20F1C4" w14:textId="77777777" w:rsidR="00420A9A" w:rsidRDefault="00420A9A" w:rsidP="008E4356">
      <w:pPr>
        <w:spacing w:after="0" w:line="240" w:lineRule="auto"/>
        <w:contextualSpacing/>
        <w:jc w:val="both"/>
        <w:rPr>
          <w:rFonts w:cstheme="minorHAnsi"/>
          <w:b/>
        </w:rPr>
      </w:pPr>
    </w:p>
    <w:p w14:paraId="350DE7A9" w14:textId="7E7CE259" w:rsidR="00717B27" w:rsidRDefault="00204E1F" w:rsidP="008E4356">
      <w:pPr>
        <w:spacing w:after="0" w:line="240" w:lineRule="auto"/>
        <w:contextualSpacing/>
        <w:jc w:val="both"/>
        <w:rPr>
          <w:rFonts w:cstheme="minorHAnsi"/>
          <w:b/>
          <w:lang w:val="en-GB"/>
        </w:rPr>
      </w:pPr>
      <w:r w:rsidRPr="00646D06">
        <w:rPr>
          <w:rFonts w:cstheme="minorHAnsi"/>
          <w:b/>
          <w:lang w:val="en-GB"/>
        </w:rPr>
        <w:t>Background:</w:t>
      </w:r>
    </w:p>
    <w:p w14:paraId="37E7E0BA" w14:textId="373AA9F3" w:rsidR="00954939" w:rsidRPr="00666EF9" w:rsidRDefault="00954939" w:rsidP="008E4356">
      <w:pPr>
        <w:spacing w:after="0" w:line="240" w:lineRule="auto"/>
        <w:jc w:val="both"/>
        <w:rPr>
          <w:rFonts w:cs="Arial"/>
        </w:rPr>
      </w:pPr>
      <w:r w:rsidRPr="00666EF9">
        <w:rPr>
          <w:rFonts w:cs="Arial"/>
        </w:rPr>
        <w:t xml:space="preserve">Nationally Appropriate Mitigation Actions (NAMA) refer to any action that reduces emissions in developing countries, supports sustainable development and is prepared under the umbrella of a national government initiative. To support and compliment the national commitment for scientific treatment of MSW leading to GHG emission reductions, the NAMA Facility (NF), a joint climate protection </w:t>
      </w:r>
      <w:proofErr w:type="spellStart"/>
      <w:r w:rsidRPr="00666EF9">
        <w:rPr>
          <w:rFonts w:cs="Arial"/>
        </w:rPr>
        <w:t>programme</w:t>
      </w:r>
      <w:proofErr w:type="spellEnd"/>
      <w:r w:rsidRPr="00666EF9">
        <w:rPr>
          <w:rFonts w:cs="Arial"/>
        </w:rPr>
        <w:t xml:space="preserve"> of the German Federal Ministry for the Environment, Nature Conservation, and Nuclear Safety, the UK Department for Business, Energy and Industrial Strategy, the European Commission and the Danish Ministry of Energy, Utilities and Climate, has approved for implementation the NAMA Support Project (NSP) titled ‘Waste Solutions for a Circular Economy in India’. The project is in partnership with the Ministry of Environment, </w:t>
      </w:r>
      <w:proofErr w:type="gramStart"/>
      <w:r w:rsidRPr="00666EF9">
        <w:rPr>
          <w:rFonts w:cs="Arial"/>
        </w:rPr>
        <w:t>Forest</w:t>
      </w:r>
      <w:proofErr w:type="gramEnd"/>
      <w:r w:rsidRPr="00666EF9">
        <w:rPr>
          <w:rFonts w:cs="Arial"/>
        </w:rPr>
        <w:t xml:space="preserve"> and Climate Change (</w:t>
      </w:r>
      <w:proofErr w:type="spellStart"/>
      <w:r w:rsidRPr="00666EF9">
        <w:rPr>
          <w:rFonts w:cs="Arial"/>
        </w:rPr>
        <w:t>MoEFCC</w:t>
      </w:r>
      <w:proofErr w:type="spellEnd"/>
      <w:r w:rsidRPr="00666EF9">
        <w:rPr>
          <w:rFonts w:cs="Arial"/>
        </w:rPr>
        <w:t>) as the nodal Ministry and the Ministry of Housing and Urban Affairs (</w:t>
      </w:r>
      <w:proofErr w:type="spellStart"/>
      <w:r w:rsidRPr="00666EF9">
        <w:rPr>
          <w:rFonts w:cs="Arial"/>
        </w:rPr>
        <w:t>MoHUA</w:t>
      </w:r>
      <w:proofErr w:type="spellEnd"/>
      <w:r w:rsidRPr="00666EF9">
        <w:rPr>
          <w:rFonts w:cs="Arial"/>
        </w:rPr>
        <w:t>) as the implementation Ministry. The project is being implemented by GIZ</w:t>
      </w:r>
      <w:r>
        <w:rPr>
          <w:rFonts w:cs="Arial"/>
        </w:rPr>
        <w:t xml:space="preserve"> and includes a Grant Funding Mechanism (GFM), Risk Sharing Facility (RSF) and Technical Assistance Component</w:t>
      </w:r>
      <w:r w:rsidRPr="00666EF9">
        <w:rPr>
          <w:rFonts w:cs="Arial"/>
        </w:rPr>
        <w:t xml:space="preserve">. </w:t>
      </w:r>
    </w:p>
    <w:p w14:paraId="3116E8AE" w14:textId="77777777" w:rsidR="00954939" w:rsidRPr="00666EF9" w:rsidRDefault="00954939" w:rsidP="008E4356">
      <w:pPr>
        <w:spacing w:after="0" w:line="240" w:lineRule="auto"/>
        <w:jc w:val="both"/>
        <w:rPr>
          <w:rFonts w:cs="Arial"/>
        </w:rPr>
      </w:pPr>
      <w:r w:rsidRPr="00666EF9">
        <w:rPr>
          <w:rFonts w:cs="Arial"/>
          <w:b/>
          <w:bCs/>
        </w:rPr>
        <w:t>Risk Sharing Facility:</w:t>
      </w:r>
      <w:r w:rsidRPr="00666EF9">
        <w:rPr>
          <w:rFonts w:cs="Arial"/>
        </w:rPr>
        <w:t xml:space="preserve"> This facility will be managed by a Financial Institution and provide guarantees for debt financing for MSW management facilities across the country. </w:t>
      </w:r>
    </w:p>
    <w:p w14:paraId="6B37510E" w14:textId="39EE0121" w:rsidR="00420A9A" w:rsidRDefault="00420A9A" w:rsidP="008E4356">
      <w:pPr>
        <w:spacing w:after="0" w:line="240" w:lineRule="auto"/>
        <w:contextualSpacing/>
        <w:jc w:val="both"/>
        <w:rPr>
          <w:rFonts w:cstheme="minorHAnsi"/>
          <w:b/>
          <w:lang w:val="en-GB"/>
        </w:rPr>
      </w:pPr>
      <w:r w:rsidRPr="00021A6D">
        <w:rPr>
          <w:rFonts w:cstheme="minorHAnsi"/>
          <w:b/>
          <w:lang w:val="en-GB"/>
        </w:rPr>
        <w:t>Objectives:</w:t>
      </w:r>
    </w:p>
    <w:p w14:paraId="7AAE2142" w14:textId="77777777" w:rsidR="003420B5" w:rsidRPr="00021A6D" w:rsidRDefault="003420B5" w:rsidP="008E4356">
      <w:pPr>
        <w:spacing w:after="0" w:line="240" w:lineRule="auto"/>
        <w:contextualSpacing/>
        <w:jc w:val="both"/>
        <w:rPr>
          <w:rFonts w:cstheme="minorHAnsi"/>
          <w:b/>
          <w:lang w:val="en-GB"/>
        </w:rPr>
      </w:pPr>
    </w:p>
    <w:p w14:paraId="3089DE00" w14:textId="77777777" w:rsidR="00954939" w:rsidRPr="005964F1" w:rsidRDefault="00954939" w:rsidP="008E4356">
      <w:pPr>
        <w:widowControl w:val="0"/>
        <w:tabs>
          <w:tab w:val="left" w:pos="2085"/>
          <w:tab w:val="center" w:pos="4513"/>
        </w:tabs>
        <w:spacing w:after="0" w:line="240" w:lineRule="auto"/>
        <w:jc w:val="both"/>
        <w:rPr>
          <w:rFonts w:cs="Arial"/>
          <w:b/>
          <w:bCs/>
        </w:rPr>
      </w:pPr>
      <w:r w:rsidRPr="005964F1">
        <w:rPr>
          <w:rFonts w:cs="Arial"/>
          <w:b/>
          <w:bCs/>
        </w:rPr>
        <w:t>The specific objectives of the contract are as follows:</w:t>
      </w:r>
    </w:p>
    <w:p w14:paraId="341662EB" w14:textId="77777777" w:rsidR="00954939" w:rsidRPr="00666EF9" w:rsidRDefault="00954939" w:rsidP="008E4356">
      <w:pPr>
        <w:pStyle w:val="ListParagraph"/>
        <w:widowControl w:val="0"/>
        <w:numPr>
          <w:ilvl w:val="0"/>
          <w:numId w:val="14"/>
        </w:numPr>
        <w:tabs>
          <w:tab w:val="left" w:pos="2085"/>
          <w:tab w:val="center" w:pos="4513"/>
        </w:tabs>
        <w:spacing w:after="0" w:line="240" w:lineRule="auto"/>
        <w:jc w:val="both"/>
        <w:rPr>
          <w:rFonts w:cs="Arial"/>
        </w:rPr>
      </w:pPr>
      <w:bookmarkStart w:id="0" w:name="_Hlk25765094"/>
      <w:r w:rsidRPr="00666EF9">
        <w:rPr>
          <w:rFonts w:cs="Arial"/>
        </w:rPr>
        <w:t>Setting up the Risk Sharing Facility (RSF) for MSW Management in India by seeking required permissions and setting up internal processes.</w:t>
      </w:r>
    </w:p>
    <w:p w14:paraId="59DD9EB2" w14:textId="77777777" w:rsidR="00954939" w:rsidRPr="00666EF9" w:rsidRDefault="00954939" w:rsidP="008E4356">
      <w:pPr>
        <w:pStyle w:val="ListParagraph"/>
        <w:widowControl w:val="0"/>
        <w:numPr>
          <w:ilvl w:val="0"/>
          <w:numId w:val="14"/>
        </w:numPr>
        <w:tabs>
          <w:tab w:val="left" w:pos="2085"/>
          <w:tab w:val="center" w:pos="4513"/>
        </w:tabs>
        <w:spacing w:after="0" w:line="240" w:lineRule="auto"/>
        <w:jc w:val="both"/>
        <w:rPr>
          <w:rFonts w:cs="Arial"/>
        </w:rPr>
      </w:pPr>
      <w:r w:rsidRPr="00666EF9">
        <w:rPr>
          <w:rFonts w:cs="Arial"/>
        </w:rPr>
        <w:t xml:space="preserve">Creating awareness and building capacity about the RSF product for MSW Management amongst relevant stakeholders. </w:t>
      </w:r>
    </w:p>
    <w:p w14:paraId="261DFDE3" w14:textId="77777777" w:rsidR="00954939" w:rsidRPr="00666EF9" w:rsidRDefault="00954939" w:rsidP="008E4356">
      <w:pPr>
        <w:pStyle w:val="ListParagraph"/>
        <w:widowControl w:val="0"/>
        <w:numPr>
          <w:ilvl w:val="0"/>
          <w:numId w:val="14"/>
        </w:numPr>
        <w:tabs>
          <w:tab w:val="left" w:pos="2085"/>
          <w:tab w:val="center" w:pos="4513"/>
        </w:tabs>
        <w:spacing w:after="0" w:line="240" w:lineRule="auto"/>
        <w:jc w:val="both"/>
        <w:rPr>
          <w:rFonts w:cs="Arial"/>
        </w:rPr>
      </w:pPr>
      <w:r w:rsidRPr="00666EF9">
        <w:rPr>
          <w:rFonts w:cs="Arial"/>
        </w:rPr>
        <w:t xml:space="preserve">Implementation of the RSF by providing debt guarantees to MSW management companies and continuation or closure of the RSF after project duration. </w:t>
      </w:r>
      <w:bookmarkEnd w:id="0"/>
    </w:p>
    <w:p w14:paraId="5B339565" w14:textId="77777777" w:rsidR="003C23D9" w:rsidRDefault="003C23D9" w:rsidP="008E4356">
      <w:pPr>
        <w:pStyle w:val="NoSpacing"/>
        <w:jc w:val="both"/>
        <w:rPr>
          <w:rFonts w:ascii="Calibri" w:hAnsi="Calibri" w:cs="Calibri"/>
          <w:b/>
          <w:bCs/>
          <w:color w:val="FFFFFF"/>
          <w:highlight w:val="red"/>
        </w:rPr>
      </w:pPr>
    </w:p>
    <w:p w14:paraId="76A6CA8C" w14:textId="77777777" w:rsidR="000F3536" w:rsidRDefault="000F3536" w:rsidP="000F3536">
      <w:pPr>
        <w:pStyle w:val="SpiegelB"/>
        <w:keepNext/>
        <w:spacing w:after="240" w:line="276" w:lineRule="auto"/>
        <w:ind w:left="0" w:right="-1" w:firstLine="0"/>
        <w:jc w:val="both"/>
        <w:rPr>
          <w:rFonts w:eastAsiaTheme="minorHAnsi" w:cs="Arial"/>
          <w:color w:val="FFFFFF" w:themeColor="background1"/>
          <w:sz w:val="24"/>
          <w:szCs w:val="24"/>
          <w:lang w:val="en-US" w:eastAsia="en-US"/>
        </w:rPr>
      </w:pPr>
      <w:bookmarkStart w:id="1" w:name="_Hlk64064330"/>
      <w:r>
        <w:rPr>
          <w:rFonts w:eastAsiaTheme="minorHAnsi" w:cs="Arial"/>
          <w:b/>
          <w:szCs w:val="22"/>
          <w:highlight w:val="yellow"/>
          <w:lang w:val="en-US" w:eastAsia="en-US"/>
        </w:rPr>
        <w:t xml:space="preserve">The bidding firm will have to submit the proposal in digital format / electronically – </w:t>
      </w:r>
      <w:r>
        <w:rPr>
          <w:rFonts w:eastAsiaTheme="minorHAnsi" w:cs="Arial"/>
          <w:b/>
          <w:color w:val="FFFFFF" w:themeColor="background1"/>
          <w:sz w:val="24"/>
          <w:szCs w:val="24"/>
          <w:highlight w:val="red"/>
          <w:lang w:val="en-US" w:eastAsia="en-US"/>
        </w:rPr>
        <w:t>please refer to the bidding conditions and follow the instructions carefully.</w:t>
      </w:r>
      <w:r>
        <w:rPr>
          <w:rFonts w:eastAsiaTheme="minorHAnsi" w:cs="Arial"/>
          <w:b/>
          <w:color w:val="FFFFFF" w:themeColor="background1"/>
          <w:sz w:val="24"/>
          <w:szCs w:val="24"/>
          <w:lang w:val="en-US" w:eastAsia="en-US"/>
        </w:rPr>
        <w:t xml:space="preserve"> </w:t>
      </w:r>
    </w:p>
    <w:p w14:paraId="77B5544B" w14:textId="77777777" w:rsidR="000F3536" w:rsidRPr="000F3536" w:rsidRDefault="000F3536" w:rsidP="000F3536">
      <w:pPr>
        <w:rPr>
          <w:rFonts w:cs="Arial"/>
        </w:rPr>
      </w:pPr>
      <w:r w:rsidRPr="000F3536">
        <w:rPr>
          <w:rFonts w:cs="Arial"/>
        </w:rPr>
        <w:t xml:space="preserve">The detailed documentation with regards to this call for proposals includes – </w:t>
      </w:r>
    </w:p>
    <w:p w14:paraId="026FAFC5" w14:textId="77777777" w:rsidR="000F3536" w:rsidRPr="000F3536" w:rsidRDefault="000F3536" w:rsidP="000F3536">
      <w:pPr>
        <w:pStyle w:val="ListParagraph"/>
        <w:numPr>
          <w:ilvl w:val="0"/>
          <w:numId w:val="17"/>
        </w:numPr>
        <w:shd w:val="clear" w:color="auto" w:fill="FFFFFF"/>
        <w:spacing w:after="0" w:line="240" w:lineRule="auto"/>
        <w:rPr>
          <w:rFonts w:cs="Arial"/>
        </w:rPr>
      </w:pPr>
      <w:r w:rsidRPr="000F3536">
        <w:rPr>
          <w:rFonts w:cs="Arial"/>
        </w:rPr>
        <w:t>The Terms of Reference for the Assignment</w:t>
      </w:r>
    </w:p>
    <w:p w14:paraId="11B6C90C" w14:textId="77777777" w:rsidR="000F3536" w:rsidRPr="000F3536" w:rsidRDefault="000F3536" w:rsidP="000F3536">
      <w:pPr>
        <w:pStyle w:val="ListParagraph"/>
        <w:numPr>
          <w:ilvl w:val="0"/>
          <w:numId w:val="17"/>
        </w:numPr>
        <w:shd w:val="clear" w:color="auto" w:fill="FFFFFF"/>
        <w:spacing w:after="0" w:line="240" w:lineRule="auto"/>
        <w:rPr>
          <w:rFonts w:cs="Arial"/>
        </w:rPr>
      </w:pPr>
      <w:r w:rsidRPr="000F3536">
        <w:rPr>
          <w:rFonts w:cs="Arial"/>
        </w:rPr>
        <w:t xml:space="preserve">The Technical Evaluation Grid </w:t>
      </w:r>
    </w:p>
    <w:p w14:paraId="2C4B98D8" w14:textId="77777777" w:rsidR="000F3536" w:rsidRPr="000F3536" w:rsidRDefault="000F3536" w:rsidP="000F3536">
      <w:pPr>
        <w:pStyle w:val="ListParagraph"/>
        <w:numPr>
          <w:ilvl w:val="0"/>
          <w:numId w:val="17"/>
        </w:numPr>
        <w:shd w:val="clear" w:color="auto" w:fill="FFFFFF"/>
        <w:spacing w:after="0" w:line="240" w:lineRule="auto"/>
        <w:ind w:left="709"/>
        <w:rPr>
          <w:rFonts w:cs="Arial"/>
        </w:rPr>
      </w:pPr>
      <w:r w:rsidRPr="000F3536">
        <w:rPr>
          <w:rFonts w:cs="Arial"/>
        </w:rPr>
        <w:t xml:space="preserve">Grid for Assessing the Eligibility of firms </w:t>
      </w:r>
    </w:p>
    <w:p w14:paraId="6B336BE2" w14:textId="77777777" w:rsidR="000F3536" w:rsidRPr="000F3536" w:rsidRDefault="000F3536" w:rsidP="000F3536">
      <w:pPr>
        <w:pStyle w:val="ListParagraph"/>
        <w:numPr>
          <w:ilvl w:val="0"/>
          <w:numId w:val="17"/>
        </w:numPr>
        <w:shd w:val="clear" w:color="auto" w:fill="FFFFFF"/>
        <w:spacing w:after="0" w:line="240" w:lineRule="auto"/>
        <w:rPr>
          <w:rFonts w:cs="Arial"/>
        </w:rPr>
      </w:pPr>
      <w:r w:rsidRPr="000F3536">
        <w:rPr>
          <w:rFonts w:cs="Arial"/>
        </w:rPr>
        <w:t>Bidding Conditions</w:t>
      </w:r>
    </w:p>
    <w:p w14:paraId="2EBEC001" w14:textId="77777777" w:rsidR="000F3536" w:rsidRPr="000F3536" w:rsidRDefault="000F3536" w:rsidP="000F3536">
      <w:pPr>
        <w:pStyle w:val="ListParagraph"/>
        <w:numPr>
          <w:ilvl w:val="0"/>
          <w:numId w:val="17"/>
        </w:numPr>
        <w:spacing w:after="0" w:line="240" w:lineRule="auto"/>
        <w:jc w:val="both"/>
        <w:rPr>
          <w:rFonts w:cs="Arial"/>
        </w:rPr>
      </w:pPr>
      <w:r w:rsidRPr="000F3536">
        <w:rPr>
          <w:rFonts w:cs="Arial"/>
        </w:rPr>
        <w:t>The General Terms &amp; Conditions of Contracts</w:t>
      </w:r>
    </w:p>
    <w:p w14:paraId="07E71D0E" w14:textId="77777777" w:rsidR="000F3536" w:rsidRPr="000F3536" w:rsidRDefault="000F3536" w:rsidP="000F3536">
      <w:pPr>
        <w:ind w:left="360"/>
        <w:rPr>
          <w:rFonts w:ascii="Arial" w:hAnsi="Arial" w:cs="Arial"/>
          <w:b/>
          <w:color w:val="000099"/>
          <w:sz w:val="2"/>
          <w:szCs w:val="2"/>
          <w:u w:val="single"/>
        </w:rPr>
      </w:pPr>
    </w:p>
    <w:p w14:paraId="2075890E" w14:textId="2BEB9606" w:rsidR="000F3536" w:rsidRDefault="000F3536" w:rsidP="000F3536">
      <w:pPr>
        <w:ind w:left="360"/>
        <w:rPr>
          <w:rFonts w:ascii="Arial" w:hAnsi="Arial" w:cs="Arial"/>
          <w:b/>
          <w:color w:val="000099"/>
          <w:sz w:val="21"/>
          <w:szCs w:val="21"/>
          <w:u w:val="single"/>
        </w:rPr>
      </w:pPr>
      <w:proofErr w:type="gramStart"/>
      <w:r>
        <w:rPr>
          <w:rFonts w:ascii="Arial" w:hAnsi="Arial" w:cs="Arial"/>
          <w:b/>
          <w:color w:val="000099"/>
          <w:sz w:val="21"/>
          <w:szCs w:val="21"/>
          <w:u w:val="single"/>
        </w:rPr>
        <w:t>Timeline;</w:t>
      </w:r>
      <w:proofErr w:type="gramEnd"/>
    </w:p>
    <w:p w14:paraId="58178F50" w14:textId="784CA4D3" w:rsidR="000F3536" w:rsidRDefault="000F3536" w:rsidP="000F3536">
      <w:pPr>
        <w:pStyle w:val="ListParagraph"/>
        <w:numPr>
          <w:ilvl w:val="0"/>
          <w:numId w:val="18"/>
        </w:numPr>
        <w:rPr>
          <w:rFonts w:ascii="Arial" w:hAnsi="Arial" w:cs="Arial"/>
          <w:b/>
          <w:bCs/>
          <w:color w:val="000099"/>
          <w:sz w:val="21"/>
          <w:szCs w:val="21"/>
          <w:lang w:val="en-IN"/>
        </w:rPr>
      </w:pPr>
      <w:r>
        <w:rPr>
          <w:rFonts w:ascii="Arial" w:hAnsi="Arial" w:cs="Arial"/>
          <w:b/>
          <w:bCs/>
          <w:color w:val="000099"/>
          <w:sz w:val="21"/>
          <w:szCs w:val="21"/>
          <w:lang w:val="en-IN"/>
        </w:rPr>
        <w:t>Deadline to receive queries              </w:t>
      </w:r>
      <w:proofErr w:type="gramStart"/>
      <w:r>
        <w:rPr>
          <w:rFonts w:ascii="Arial" w:hAnsi="Arial" w:cs="Arial"/>
          <w:b/>
          <w:bCs/>
          <w:color w:val="000099"/>
          <w:sz w:val="21"/>
          <w:szCs w:val="21"/>
          <w:lang w:val="en-IN"/>
        </w:rPr>
        <w:t>  :</w:t>
      </w:r>
      <w:proofErr w:type="gramEnd"/>
      <w:r>
        <w:rPr>
          <w:rFonts w:ascii="Arial" w:hAnsi="Arial" w:cs="Arial"/>
          <w:b/>
          <w:bCs/>
          <w:color w:val="000099"/>
          <w:sz w:val="21"/>
          <w:szCs w:val="21"/>
          <w:lang w:val="en-IN"/>
        </w:rPr>
        <w:t xml:space="preserve">  1</w:t>
      </w:r>
      <w:r w:rsidR="000F497F">
        <w:rPr>
          <w:rFonts w:ascii="Arial" w:hAnsi="Arial" w:cs="Arial"/>
          <w:b/>
          <w:bCs/>
          <w:color w:val="000099"/>
          <w:sz w:val="21"/>
          <w:szCs w:val="21"/>
          <w:lang w:val="en-IN"/>
        </w:rPr>
        <w:t>7</w:t>
      </w:r>
      <w:r>
        <w:rPr>
          <w:rFonts w:ascii="Arial" w:hAnsi="Arial" w:cs="Arial"/>
          <w:b/>
          <w:bCs/>
          <w:color w:val="000099"/>
          <w:sz w:val="21"/>
          <w:szCs w:val="21"/>
          <w:vertAlign w:val="superscript"/>
          <w:lang w:val="en-IN"/>
        </w:rPr>
        <w:t>th</w:t>
      </w:r>
      <w:r>
        <w:rPr>
          <w:rFonts w:ascii="Arial" w:hAnsi="Arial" w:cs="Arial"/>
          <w:b/>
          <w:bCs/>
          <w:color w:val="000099"/>
          <w:sz w:val="21"/>
          <w:szCs w:val="21"/>
          <w:lang w:val="en-IN"/>
        </w:rPr>
        <w:t xml:space="preserve"> </w:t>
      </w:r>
      <w:r w:rsidR="00FC5712">
        <w:rPr>
          <w:rFonts w:ascii="Arial" w:hAnsi="Arial" w:cs="Arial"/>
          <w:b/>
          <w:bCs/>
          <w:color w:val="000099"/>
          <w:sz w:val="21"/>
          <w:szCs w:val="21"/>
          <w:lang w:val="en-IN"/>
        </w:rPr>
        <w:t>Sept</w:t>
      </w:r>
      <w:r>
        <w:rPr>
          <w:rFonts w:ascii="Arial" w:hAnsi="Arial" w:cs="Arial"/>
          <w:b/>
          <w:bCs/>
          <w:color w:val="000099"/>
          <w:sz w:val="21"/>
          <w:szCs w:val="21"/>
          <w:lang w:val="en-IN"/>
        </w:rPr>
        <w:t>’ 2021</w:t>
      </w:r>
    </w:p>
    <w:p w14:paraId="1AE1D6DE" w14:textId="2CEB3E38" w:rsidR="000F3536" w:rsidRDefault="000F3536" w:rsidP="000F3536">
      <w:pPr>
        <w:pStyle w:val="ListParagraph"/>
        <w:numPr>
          <w:ilvl w:val="0"/>
          <w:numId w:val="18"/>
        </w:numPr>
        <w:rPr>
          <w:rFonts w:ascii="Arial" w:hAnsi="Arial" w:cs="Arial"/>
          <w:b/>
          <w:bCs/>
          <w:color w:val="000099"/>
          <w:sz w:val="21"/>
          <w:szCs w:val="21"/>
          <w:lang w:val="en-IN"/>
        </w:rPr>
      </w:pPr>
      <w:r>
        <w:rPr>
          <w:rFonts w:ascii="Arial" w:hAnsi="Arial" w:cs="Arial"/>
          <w:b/>
          <w:bCs/>
          <w:color w:val="000099"/>
          <w:sz w:val="21"/>
          <w:szCs w:val="21"/>
          <w:lang w:val="en-IN"/>
        </w:rPr>
        <w:t>Clarifications to the queries             </w:t>
      </w:r>
      <w:proofErr w:type="gramStart"/>
      <w:r>
        <w:rPr>
          <w:rFonts w:ascii="Arial" w:hAnsi="Arial" w:cs="Arial"/>
          <w:b/>
          <w:bCs/>
          <w:color w:val="000099"/>
          <w:sz w:val="21"/>
          <w:szCs w:val="21"/>
          <w:lang w:val="en-IN"/>
        </w:rPr>
        <w:t>  :</w:t>
      </w:r>
      <w:proofErr w:type="gramEnd"/>
      <w:r>
        <w:rPr>
          <w:rFonts w:ascii="Arial" w:hAnsi="Arial" w:cs="Arial"/>
          <w:b/>
          <w:bCs/>
          <w:color w:val="000099"/>
          <w:sz w:val="21"/>
          <w:szCs w:val="21"/>
          <w:lang w:val="en-IN"/>
        </w:rPr>
        <w:t xml:space="preserve">  </w:t>
      </w:r>
      <w:r w:rsidR="00FC5712">
        <w:rPr>
          <w:rFonts w:ascii="Arial" w:hAnsi="Arial" w:cs="Arial"/>
          <w:b/>
          <w:bCs/>
          <w:color w:val="000099"/>
          <w:sz w:val="21"/>
          <w:szCs w:val="21"/>
          <w:lang w:val="en-IN"/>
        </w:rPr>
        <w:t>22</w:t>
      </w:r>
      <w:r>
        <w:rPr>
          <w:rFonts w:ascii="Arial" w:hAnsi="Arial" w:cs="Arial"/>
          <w:b/>
          <w:bCs/>
          <w:color w:val="000099"/>
          <w:sz w:val="21"/>
          <w:szCs w:val="21"/>
          <w:vertAlign w:val="superscript"/>
          <w:lang w:val="en-IN"/>
        </w:rPr>
        <w:t>th</w:t>
      </w:r>
      <w:r>
        <w:rPr>
          <w:rFonts w:ascii="Arial" w:hAnsi="Arial" w:cs="Arial"/>
          <w:b/>
          <w:bCs/>
          <w:color w:val="000099"/>
          <w:sz w:val="21"/>
          <w:szCs w:val="21"/>
          <w:lang w:val="en-IN"/>
        </w:rPr>
        <w:t xml:space="preserve"> </w:t>
      </w:r>
      <w:r w:rsidR="00FC5712">
        <w:rPr>
          <w:rFonts w:ascii="Arial" w:hAnsi="Arial" w:cs="Arial"/>
          <w:b/>
          <w:bCs/>
          <w:color w:val="000099"/>
          <w:sz w:val="21"/>
          <w:szCs w:val="21"/>
          <w:lang w:val="en-IN"/>
        </w:rPr>
        <w:t>Sept</w:t>
      </w:r>
      <w:r>
        <w:rPr>
          <w:rFonts w:ascii="Arial" w:hAnsi="Arial" w:cs="Arial"/>
          <w:b/>
          <w:bCs/>
          <w:color w:val="000099"/>
          <w:sz w:val="21"/>
          <w:szCs w:val="21"/>
          <w:lang w:val="en-IN"/>
        </w:rPr>
        <w:t xml:space="preserve">’ 2021 </w:t>
      </w:r>
    </w:p>
    <w:p w14:paraId="64FCBE37" w14:textId="77777777" w:rsidR="000F3536" w:rsidRDefault="000F3536" w:rsidP="000F3536">
      <w:pPr>
        <w:pStyle w:val="ListParagraph"/>
        <w:numPr>
          <w:ilvl w:val="0"/>
          <w:numId w:val="18"/>
        </w:numPr>
        <w:jc w:val="both"/>
        <w:rPr>
          <w:rFonts w:ascii="Arial" w:hAnsi="Arial" w:cs="Arial"/>
          <w:b/>
          <w:color w:val="FFFFFF" w:themeColor="background1"/>
          <w:sz w:val="21"/>
          <w:szCs w:val="21"/>
          <w:lang w:val="en-IN"/>
        </w:rPr>
      </w:pPr>
    </w:p>
    <w:p w14:paraId="4F1A2D54" w14:textId="6A8D6630" w:rsidR="000F3536" w:rsidRDefault="000F3536" w:rsidP="000F3536">
      <w:pPr>
        <w:pStyle w:val="ListParagraph"/>
        <w:numPr>
          <w:ilvl w:val="0"/>
          <w:numId w:val="18"/>
        </w:numPr>
        <w:jc w:val="both"/>
        <w:rPr>
          <w:rFonts w:ascii="Arial" w:hAnsi="Arial" w:cs="Arial"/>
          <w:b/>
          <w:color w:val="FFFFFF" w:themeColor="background1"/>
          <w:sz w:val="21"/>
          <w:szCs w:val="21"/>
          <w:lang w:val="en-IN"/>
        </w:rPr>
      </w:pPr>
      <w:r>
        <w:rPr>
          <w:rFonts w:ascii="Arial" w:hAnsi="Arial" w:cs="Arial"/>
          <w:b/>
          <w:color w:val="FFFFFF" w:themeColor="background1"/>
          <w:sz w:val="23"/>
          <w:szCs w:val="23"/>
          <w:highlight w:val="red"/>
          <w:lang w:val="en-IN"/>
        </w:rPr>
        <w:t xml:space="preserve">The deadline for submission of proposal is: </w:t>
      </w:r>
      <w:r w:rsidRPr="00FC5712">
        <w:rPr>
          <w:rFonts w:ascii="Arial" w:hAnsi="Arial" w:cs="Arial"/>
          <w:b/>
          <w:color w:val="FFFFFF" w:themeColor="background1"/>
          <w:sz w:val="23"/>
          <w:szCs w:val="23"/>
          <w:highlight w:val="red"/>
          <w:lang w:val="en-IN"/>
        </w:rPr>
        <w:t>2</w:t>
      </w:r>
      <w:r w:rsidR="00FC5712" w:rsidRPr="00FC5712">
        <w:rPr>
          <w:rFonts w:ascii="Arial" w:hAnsi="Arial" w:cs="Arial"/>
          <w:b/>
          <w:color w:val="FFFFFF" w:themeColor="background1"/>
          <w:sz w:val="23"/>
          <w:szCs w:val="23"/>
          <w:highlight w:val="red"/>
          <w:lang w:val="en-IN"/>
        </w:rPr>
        <w:t>9</w:t>
      </w:r>
      <w:r w:rsidRPr="00FC5712">
        <w:rPr>
          <w:rFonts w:ascii="Arial" w:hAnsi="Arial" w:cs="Arial"/>
          <w:b/>
          <w:color w:val="FFFFFF" w:themeColor="background1"/>
          <w:sz w:val="23"/>
          <w:szCs w:val="23"/>
          <w:highlight w:val="red"/>
          <w:vertAlign w:val="superscript"/>
          <w:lang w:val="en-IN"/>
        </w:rPr>
        <w:t xml:space="preserve">th </w:t>
      </w:r>
      <w:r w:rsidR="000C4B37">
        <w:rPr>
          <w:rFonts w:ascii="Arial" w:hAnsi="Arial" w:cs="Arial"/>
          <w:b/>
          <w:color w:val="FFFFFF" w:themeColor="background1"/>
          <w:sz w:val="23"/>
          <w:szCs w:val="23"/>
          <w:highlight w:val="red"/>
          <w:lang w:val="en-IN"/>
        </w:rPr>
        <w:t>Sept</w:t>
      </w:r>
      <w:r w:rsidRPr="00FC5712">
        <w:rPr>
          <w:rFonts w:ascii="Arial" w:hAnsi="Arial" w:cs="Arial"/>
          <w:b/>
          <w:color w:val="FFFFFF" w:themeColor="background1"/>
          <w:sz w:val="23"/>
          <w:szCs w:val="23"/>
          <w:highlight w:val="red"/>
          <w:lang w:val="en-IN"/>
        </w:rPr>
        <w:t>’ 2021</w:t>
      </w:r>
      <w:r w:rsidR="00FC5712" w:rsidRPr="00FC5712">
        <w:rPr>
          <w:rFonts w:ascii="Arial" w:hAnsi="Arial" w:cs="Arial"/>
          <w:b/>
          <w:color w:val="FFFFFF" w:themeColor="background1"/>
          <w:sz w:val="23"/>
          <w:szCs w:val="23"/>
          <w:highlight w:val="red"/>
          <w:lang w:val="en-IN"/>
        </w:rPr>
        <w:t>, by 17:30hrs</w:t>
      </w:r>
    </w:p>
    <w:p w14:paraId="3D9880E1" w14:textId="02B5A374" w:rsidR="008E4356" w:rsidRDefault="008E4356" w:rsidP="008E4356">
      <w:pPr>
        <w:pStyle w:val="gmail-m-4670398845297504799style3"/>
        <w:shd w:val="clear" w:color="auto" w:fill="FFFFFF"/>
        <w:spacing w:before="0" w:beforeAutospacing="0" w:after="0" w:afterAutospacing="0"/>
        <w:jc w:val="both"/>
        <w:rPr>
          <w:b/>
          <w:bCs/>
          <w:i/>
          <w:iCs/>
          <w:lang w:val="en-GB"/>
        </w:rPr>
      </w:pPr>
      <w:r w:rsidRPr="006F46CC">
        <w:rPr>
          <w:b/>
          <w:bCs/>
          <w:i/>
          <w:iCs/>
          <w:lang w:val="en-GB"/>
        </w:rPr>
        <w:t>It is construed that all the terms and conditions of the tender package are acceptable and agreed upon by the participating company. No negotiations/changes to the GTCC shall be acceptable at a later stage.</w:t>
      </w:r>
    </w:p>
    <w:p w14:paraId="1E950A50" w14:textId="77777777" w:rsidR="008E4356" w:rsidRPr="006F46CC" w:rsidRDefault="008E4356" w:rsidP="008E4356">
      <w:pPr>
        <w:pStyle w:val="gmail-m-4670398845297504799style3"/>
        <w:shd w:val="clear" w:color="auto" w:fill="FFFFFF"/>
        <w:spacing w:before="0" w:beforeAutospacing="0" w:after="0" w:afterAutospacing="0"/>
        <w:jc w:val="both"/>
        <w:rPr>
          <w:rStyle w:val="FontStyle20"/>
          <w:rFonts w:ascii="Calibri" w:hAnsi="Calibri" w:cs="Calibri"/>
          <w:color w:val="000099"/>
          <w:sz w:val="22"/>
          <w:szCs w:val="22"/>
        </w:rPr>
      </w:pPr>
    </w:p>
    <w:p w14:paraId="0E7A3F1D" w14:textId="345AAA2D" w:rsidR="006B61BE" w:rsidRPr="00646D06" w:rsidRDefault="008E4356" w:rsidP="000F3536">
      <w:pPr>
        <w:pStyle w:val="Style11"/>
        <w:widowControl/>
        <w:shd w:val="clear" w:color="auto" w:fill="FFFFFF"/>
        <w:spacing w:line="240" w:lineRule="auto"/>
        <w:ind w:left="10" w:right="93"/>
        <w:rPr>
          <w:rFonts w:cstheme="minorHAnsi"/>
          <w:lang w:val="en-GB"/>
        </w:rPr>
      </w:pPr>
      <w:r w:rsidRPr="006F46CC">
        <w:rPr>
          <w:rStyle w:val="FontStyle20"/>
          <w:rFonts w:ascii="Calibri" w:eastAsiaTheme="majorEastAsia" w:hAnsi="Calibri" w:cs="Calibri"/>
          <w:sz w:val="22"/>
          <w:szCs w:val="22"/>
        </w:rPr>
        <w:t>GIZ reserves the right to cancel/modify this tender and /or reject a bid document including subsequently a technical and financial proposal, without assigning any reasons.</w:t>
      </w:r>
      <w:bookmarkEnd w:id="1"/>
    </w:p>
    <w:sectPr w:rsidR="006B61BE" w:rsidRPr="00646D06" w:rsidSect="00985EC9">
      <w:headerReference w:type="default" r:id="rId8"/>
      <w:pgSz w:w="12240" w:h="15840"/>
      <w:pgMar w:top="1276" w:right="117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E8A7" w14:textId="77777777" w:rsidR="00172C86" w:rsidRDefault="00172C86" w:rsidP="003C29FB">
      <w:pPr>
        <w:spacing w:after="0" w:line="240" w:lineRule="auto"/>
      </w:pPr>
      <w:r>
        <w:separator/>
      </w:r>
    </w:p>
  </w:endnote>
  <w:endnote w:type="continuationSeparator" w:id="0">
    <w:p w14:paraId="5473C229" w14:textId="77777777" w:rsidR="00172C86" w:rsidRDefault="00172C86" w:rsidP="003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1A09" w14:textId="77777777" w:rsidR="00172C86" w:rsidRDefault="00172C86" w:rsidP="003C29FB">
      <w:pPr>
        <w:spacing w:after="0" w:line="240" w:lineRule="auto"/>
      </w:pPr>
      <w:r>
        <w:separator/>
      </w:r>
    </w:p>
  </w:footnote>
  <w:footnote w:type="continuationSeparator" w:id="0">
    <w:p w14:paraId="4D6513FF" w14:textId="77777777" w:rsidR="00172C86" w:rsidRDefault="00172C86" w:rsidP="003C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E024" w14:textId="2333ADA0" w:rsidR="00DB7233" w:rsidRDefault="00DB7233">
    <w:pPr>
      <w:pStyle w:val="Header"/>
    </w:pPr>
    <w:r>
      <w:rPr>
        <w:noProof/>
      </w:rPr>
      <w:drawing>
        <wp:anchor distT="0" distB="0" distL="114300" distR="114300" simplePos="0" relativeHeight="251659264" behindDoc="0" locked="0" layoutInCell="1" allowOverlap="1" wp14:anchorId="1098AB52" wp14:editId="7E840418">
          <wp:simplePos x="0" y="0"/>
          <wp:positionH relativeFrom="column">
            <wp:posOffset>4546600</wp:posOffset>
          </wp:positionH>
          <wp:positionV relativeFrom="paragraph">
            <wp:posOffset>-361950</wp:posOffset>
          </wp:positionV>
          <wp:extent cx="1638300" cy="711200"/>
          <wp:effectExtent l="0" t="0" r="0" b="0"/>
          <wp:wrapThrough wrapText="bothSides">
            <wp:wrapPolygon edited="0">
              <wp:start x="0" y="0"/>
              <wp:lineTo x="0" y="20829"/>
              <wp:lineTo x="21349" y="20829"/>
              <wp:lineTo x="21349"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114"/>
    <w:multiLevelType w:val="hybridMultilevel"/>
    <w:tmpl w:val="5D12FC6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43710F"/>
    <w:multiLevelType w:val="hybridMultilevel"/>
    <w:tmpl w:val="24D093D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3" w15:restartNumberingAfterBreak="0">
    <w:nsid w:val="20727195"/>
    <w:multiLevelType w:val="hybridMultilevel"/>
    <w:tmpl w:val="D8D852E6"/>
    <w:lvl w:ilvl="0" w:tplc="40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265702FB"/>
    <w:multiLevelType w:val="hybridMultilevel"/>
    <w:tmpl w:val="01AEB188"/>
    <w:lvl w:ilvl="0" w:tplc="3C78209C">
      <w:numFmt w:val="bullet"/>
      <w:lvlText w:val="•"/>
      <w:lvlJc w:val="left"/>
      <w:pPr>
        <w:ind w:left="1070" w:hanging="71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B51CBE"/>
    <w:multiLevelType w:val="hybridMultilevel"/>
    <w:tmpl w:val="A4DE7E1E"/>
    <w:lvl w:ilvl="0" w:tplc="4D50742C">
      <w:start w:val="4"/>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92E64AC"/>
    <w:multiLevelType w:val="hybridMultilevel"/>
    <w:tmpl w:val="C908BDE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07023"/>
    <w:multiLevelType w:val="hybridMultilevel"/>
    <w:tmpl w:val="7524852E"/>
    <w:lvl w:ilvl="0" w:tplc="4D50742C">
      <w:start w:val="4"/>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9296474"/>
    <w:multiLevelType w:val="hybridMultilevel"/>
    <w:tmpl w:val="250A7642"/>
    <w:lvl w:ilvl="0" w:tplc="4D50742C">
      <w:start w:val="4"/>
      <w:numFmt w:val="bullet"/>
      <w:lvlText w:val="-"/>
      <w:lvlJc w:val="left"/>
      <w:pPr>
        <w:ind w:left="2160" w:hanging="360"/>
      </w:pPr>
      <w:rPr>
        <w:rFonts w:ascii="Calibri" w:eastAsiaTheme="minorHAnsi"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51A97597"/>
    <w:multiLevelType w:val="hybridMultilevel"/>
    <w:tmpl w:val="E0B64C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DE59EB"/>
    <w:multiLevelType w:val="hybridMultilevel"/>
    <w:tmpl w:val="BB80D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4D6D84"/>
    <w:multiLevelType w:val="hybridMultilevel"/>
    <w:tmpl w:val="EDB60A1A"/>
    <w:lvl w:ilvl="0" w:tplc="4D50742C">
      <w:start w:val="4"/>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F0D12"/>
    <w:multiLevelType w:val="hybridMultilevel"/>
    <w:tmpl w:val="73448AE8"/>
    <w:lvl w:ilvl="0" w:tplc="4D50742C">
      <w:start w:val="4"/>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6CF11C49"/>
    <w:multiLevelType w:val="hybridMultilevel"/>
    <w:tmpl w:val="CC9C37E8"/>
    <w:lvl w:ilvl="0" w:tplc="4009000B">
      <w:start w:val="1"/>
      <w:numFmt w:val="bullet"/>
      <w:lvlText w:val=""/>
      <w:lvlJc w:val="left"/>
      <w:pPr>
        <w:ind w:left="2250" w:hanging="360"/>
      </w:pPr>
      <w:rPr>
        <w:rFonts w:ascii="Wingdings" w:hAnsi="Wingdings" w:hint="default"/>
      </w:rPr>
    </w:lvl>
    <w:lvl w:ilvl="1" w:tplc="40090003" w:tentative="1">
      <w:start w:val="1"/>
      <w:numFmt w:val="bullet"/>
      <w:lvlText w:val="o"/>
      <w:lvlJc w:val="left"/>
      <w:pPr>
        <w:ind w:left="2970" w:hanging="360"/>
      </w:pPr>
      <w:rPr>
        <w:rFonts w:ascii="Courier New" w:hAnsi="Courier New" w:cs="Courier New" w:hint="default"/>
      </w:rPr>
    </w:lvl>
    <w:lvl w:ilvl="2" w:tplc="40090005" w:tentative="1">
      <w:start w:val="1"/>
      <w:numFmt w:val="bullet"/>
      <w:lvlText w:val=""/>
      <w:lvlJc w:val="left"/>
      <w:pPr>
        <w:ind w:left="3690" w:hanging="360"/>
      </w:pPr>
      <w:rPr>
        <w:rFonts w:ascii="Wingdings" w:hAnsi="Wingdings" w:hint="default"/>
      </w:rPr>
    </w:lvl>
    <w:lvl w:ilvl="3" w:tplc="40090001" w:tentative="1">
      <w:start w:val="1"/>
      <w:numFmt w:val="bullet"/>
      <w:lvlText w:val=""/>
      <w:lvlJc w:val="left"/>
      <w:pPr>
        <w:ind w:left="4410" w:hanging="360"/>
      </w:pPr>
      <w:rPr>
        <w:rFonts w:ascii="Symbol" w:hAnsi="Symbol" w:hint="default"/>
      </w:rPr>
    </w:lvl>
    <w:lvl w:ilvl="4" w:tplc="40090003" w:tentative="1">
      <w:start w:val="1"/>
      <w:numFmt w:val="bullet"/>
      <w:lvlText w:val="o"/>
      <w:lvlJc w:val="left"/>
      <w:pPr>
        <w:ind w:left="5130" w:hanging="360"/>
      </w:pPr>
      <w:rPr>
        <w:rFonts w:ascii="Courier New" w:hAnsi="Courier New" w:cs="Courier New" w:hint="default"/>
      </w:rPr>
    </w:lvl>
    <w:lvl w:ilvl="5" w:tplc="40090005" w:tentative="1">
      <w:start w:val="1"/>
      <w:numFmt w:val="bullet"/>
      <w:lvlText w:val=""/>
      <w:lvlJc w:val="left"/>
      <w:pPr>
        <w:ind w:left="5850" w:hanging="360"/>
      </w:pPr>
      <w:rPr>
        <w:rFonts w:ascii="Wingdings" w:hAnsi="Wingdings" w:hint="default"/>
      </w:rPr>
    </w:lvl>
    <w:lvl w:ilvl="6" w:tplc="40090001" w:tentative="1">
      <w:start w:val="1"/>
      <w:numFmt w:val="bullet"/>
      <w:lvlText w:val=""/>
      <w:lvlJc w:val="left"/>
      <w:pPr>
        <w:ind w:left="6570" w:hanging="360"/>
      </w:pPr>
      <w:rPr>
        <w:rFonts w:ascii="Symbol" w:hAnsi="Symbol" w:hint="default"/>
      </w:rPr>
    </w:lvl>
    <w:lvl w:ilvl="7" w:tplc="40090003" w:tentative="1">
      <w:start w:val="1"/>
      <w:numFmt w:val="bullet"/>
      <w:lvlText w:val="o"/>
      <w:lvlJc w:val="left"/>
      <w:pPr>
        <w:ind w:left="7290" w:hanging="360"/>
      </w:pPr>
      <w:rPr>
        <w:rFonts w:ascii="Courier New" w:hAnsi="Courier New" w:cs="Courier New" w:hint="default"/>
      </w:rPr>
    </w:lvl>
    <w:lvl w:ilvl="8" w:tplc="40090005" w:tentative="1">
      <w:start w:val="1"/>
      <w:numFmt w:val="bullet"/>
      <w:lvlText w:val=""/>
      <w:lvlJc w:val="left"/>
      <w:pPr>
        <w:ind w:left="8010" w:hanging="360"/>
      </w:pPr>
      <w:rPr>
        <w:rFonts w:ascii="Wingdings" w:hAnsi="Wingdings" w:hint="default"/>
      </w:rPr>
    </w:lvl>
  </w:abstractNum>
  <w:abstractNum w:abstractNumId="15" w15:restartNumberingAfterBreak="0">
    <w:nsid w:val="70D32CE1"/>
    <w:multiLevelType w:val="hybridMultilevel"/>
    <w:tmpl w:val="BC5823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2F90D8E"/>
    <w:multiLevelType w:val="hybridMultilevel"/>
    <w:tmpl w:val="8C480E50"/>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8"/>
  </w:num>
  <w:num w:numId="5">
    <w:abstractNumId w:val="13"/>
  </w:num>
  <w:num w:numId="6">
    <w:abstractNumId w:val="7"/>
  </w:num>
  <w:num w:numId="7">
    <w:abstractNumId w:val="11"/>
  </w:num>
  <w:num w:numId="8">
    <w:abstractNumId w:val="5"/>
  </w:num>
  <w:num w:numId="9">
    <w:abstractNumId w:val="14"/>
  </w:num>
  <w:num w:numId="10">
    <w:abstractNumId w:val="0"/>
  </w:num>
  <w:num w:numId="11">
    <w:abstractNumId w:val="15"/>
  </w:num>
  <w:num w:numId="12">
    <w:abstractNumId w:val="1"/>
  </w:num>
  <w:num w:numId="13">
    <w:abstractNumId w:val="4"/>
  </w:num>
  <w:num w:numId="14">
    <w:abstractNumId w:val="16"/>
  </w:num>
  <w:num w:numId="15">
    <w:abstractNumId w:val="2"/>
  </w:num>
  <w:num w:numId="16">
    <w:abstractNumId w:val="6"/>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NzAzsDAxsjAxNbFQ0lEKTi0uzszPAykwrgUAi01AlSwAAAA="/>
    <w:docVar w:name="LW_DocType" w:val="NORMAL"/>
  </w:docVars>
  <w:rsids>
    <w:rsidRoot w:val="00AE3A7D"/>
    <w:rsid w:val="00003474"/>
    <w:rsid w:val="00016374"/>
    <w:rsid w:val="00021528"/>
    <w:rsid w:val="000231FA"/>
    <w:rsid w:val="0002350B"/>
    <w:rsid w:val="000237EE"/>
    <w:rsid w:val="0003472B"/>
    <w:rsid w:val="00035FBC"/>
    <w:rsid w:val="00040D59"/>
    <w:rsid w:val="00043AE5"/>
    <w:rsid w:val="00050EA4"/>
    <w:rsid w:val="0006566A"/>
    <w:rsid w:val="0006593F"/>
    <w:rsid w:val="00066B9F"/>
    <w:rsid w:val="00067A6F"/>
    <w:rsid w:val="00084BC5"/>
    <w:rsid w:val="00092C94"/>
    <w:rsid w:val="000A1AB6"/>
    <w:rsid w:val="000A4C08"/>
    <w:rsid w:val="000B1C7D"/>
    <w:rsid w:val="000B1E04"/>
    <w:rsid w:val="000B4DA9"/>
    <w:rsid w:val="000C1C96"/>
    <w:rsid w:val="000C4B37"/>
    <w:rsid w:val="000E0CAB"/>
    <w:rsid w:val="000E7F38"/>
    <w:rsid w:val="000F3536"/>
    <w:rsid w:val="000F497F"/>
    <w:rsid w:val="001011BB"/>
    <w:rsid w:val="0010216A"/>
    <w:rsid w:val="00105C15"/>
    <w:rsid w:val="00110D0D"/>
    <w:rsid w:val="00115594"/>
    <w:rsid w:val="0011612E"/>
    <w:rsid w:val="0012212B"/>
    <w:rsid w:val="00123AB6"/>
    <w:rsid w:val="00130DCC"/>
    <w:rsid w:val="0013375F"/>
    <w:rsid w:val="00133852"/>
    <w:rsid w:val="0013586A"/>
    <w:rsid w:val="00136752"/>
    <w:rsid w:val="0014461E"/>
    <w:rsid w:val="001526D6"/>
    <w:rsid w:val="0015633F"/>
    <w:rsid w:val="00157291"/>
    <w:rsid w:val="00166381"/>
    <w:rsid w:val="00167AE7"/>
    <w:rsid w:val="00172C86"/>
    <w:rsid w:val="00174FCD"/>
    <w:rsid w:val="0018464A"/>
    <w:rsid w:val="00186416"/>
    <w:rsid w:val="00192B66"/>
    <w:rsid w:val="00194FCE"/>
    <w:rsid w:val="001A039F"/>
    <w:rsid w:val="001A2B91"/>
    <w:rsid w:val="001B57C4"/>
    <w:rsid w:val="001B639B"/>
    <w:rsid w:val="001B65DC"/>
    <w:rsid w:val="001C0E0C"/>
    <w:rsid w:val="001C45BD"/>
    <w:rsid w:val="001C4B80"/>
    <w:rsid w:val="001C7449"/>
    <w:rsid w:val="001D150D"/>
    <w:rsid w:val="001D3450"/>
    <w:rsid w:val="001D54F3"/>
    <w:rsid w:val="001D631B"/>
    <w:rsid w:val="001F7961"/>
    <w:rsid w:val="00200D6A"/>
    <w:rsid w:val="002036B0"/>
    <w:rsid w:val="00204E1F"/>
    <w:rsid w:val="00205364"/>
    <w:rsid w:val="002062A2"/>
    <w:rsid w:val="00213D0D"/>
    <w:rsid w:val="00213DD1"/>
    <w:rsid w:val="00221A49"/>
    <w:rsid w:val="00231EFB"/>
    <w:rsid w:val="0024265E"/>
    <w:rsid w:val="00247FE3"/>
    <w:rsid w:val="00250DA8"/>
    <w:rsid w:val="00256290"/>
    <w:rsid w:val="00267D03"/>
    <w:rsid w:val="0027195F"/>
    <w:rsid w:val="00271F64"/>
    <w:rsid w:val="00275EDE"/>
    <w:rsid w:val="002807A2"/>
    <w:rsid w:val="00291045"/>
    <w:rsid w:val="00291D7B"/>
    <w:rsid w:val="002A0627"/>
    <w:rsid w:val="002B2956"/>
    <w:rsid w:val="002B5A94"/>
    <w:rsid w:val="002B79C8"/>
    <w:rsid w:val="002C13A9"/>
    <w:rsid w:val="002C2A54"/>
    <w:rsid w:val="002C2A87"/>
    <w:rsid w:val="002C33DD"/>
    <w:rsid w:val="002C3AC7"/>
    <w:rsid w:val="002D2AB0"/>
    <w:rsid w:val="002D4352"/>
    <w:rsid w:val="002D55C4"/>
    <w:rsid w:val="002D6980"/>
    <w:rsid w:val="002E370C"/>
    <w:rsid w:val="002F039C"/>
    <w:rsid w:val="002F7FE6"/>
    <w:rsid w:val="003079C3"/>
    <w:rsid w:val="00311181"/>
    <w:rsid w:val="003113C6"/>
    <w:rsid w:val="003204A7"/>
    <w:rsid w:val="003236A8"/>
    <w:rsid w:val="00327423"/>
    <w:rsid w:val="0033187A"/>
    <w:rsid w:val="003357D6"/>
    <w:rsid w:val="00335C5B"/>
    <w:rsid w:val="00341FBE"/>
    <w:rsid w:val="003420B5"/>
    <w:rsid w:val="00344BC1"/>
    <w:rsid w:val="003508FA"/>
    <w:rsid w:val="003509EF"/>
    <w:rsid w:val="00351DA4"/>
    <w:rsid w:val="003606EB"/>
    <w:rsid w:val="00370653"/>
    <w:rsid w:val="00391CD2"/>
    <w:rsid w:val="00395074"/>
    <w:rsid w:val="003A09A8"/>
    <w:rsid w:val="003A4222"/>
    <w:rsid w:val="003A43B0"/>
    <w:rsid w:val="003A5BAF"/>
    <w:rsid w:val="003A7C83"/>
    <w:rsid w:val="003C23D9"/>
    <w:rsid w:val="003C29FB"/>
    <w:rsid w:val="003D2B58"/>
    <w:rsid w:val="003D4A8F"/>
    <w:rsid w:val="003D6DFF"/>
    <w:rsid w:val="003E1AC7"/>
    <w:rsid w:val="003E4F41"/>
    <w:rsid w:val="003F04BF"/>
    <w:rsid w:val="003F34DC"/>
    <w:rsid w:val="003F4ADF"/>
    <w:rsid w:val="00400AB9"/>
    <w:rsid w:val="00403891"/>
    <w:rsid w:val="0041182E"/>
    <w:rsid w:val="004158CE"/>
    <w:rsid w:val="00420A9A"/>
    <w:rsid w:val="004218E9"/>
    <w:rsid w:val="004238E5"/>
    <w:rsid w:val="00424C6E"/>
    <w:rsid w:val="00432050"/>
    <w:rsid w:val="00434DCC"/>
    <w:rsid w:val="00440A0A"/>
    <w:rsid w:val="004470D1"/>
    <w:rsid w:val="00450D53"/>
    <w:rsid w:val="00451C85"/>
    <w:rsid w:val="00460A46"/>
    <w:rsid w:val="004629AB"/>
    <w:rsid w:val="00466240"/>
    <w:rsid w:val="004725C1"/>
    <w:rsid w:val="00472DF3"/>
    <w:rsid w:val="004869BE"/>
    <w:rsid w:val="00487246"/>
    <w:rsid w:val="00497598"/>
    <w:rsid w:val="004A08A2"/>
    <w:rsid w:val="004A164A"/>
    <w:rsid w:val="004A51DA"/>
    <w:rsid w:val="004A6676"/>
    <w:rsid w:val="004B11B6"/>
    <w:rsid w:val="004C2525"/>
    <w:rsid w:val="004C7F89"/>
    <w:rsid w:val="004D1170"/>
    <w:rsid w:val="004D13A1"/>
    <w:rsid w:val="004D290A"/>
    <w:rsid w:val="004E0FFB"/>
    <w:rsid w:val="004E2866"/>
    <w:rsid w:val="004E422D"/>
    <w:rsid w:val="004E7B16"/>
    <w:rsid w:val="004F0094"/>
    <w:rsid w:val="004F3C0A"/>
    <w:rsid w:val="004F5322"/>
    <w:rsid w:val="004F533E"/>
    <w:rsid w:val="004F5C9D"/>
    <w:rsid w:val="00522601"/>
    <w:rsid w:val="00524139"/>
    <w:rsid w:val="00524235"/>
    <w:rsid w:val="00527FE3"/>
    <w:rsid w:val="00530711"/>
    <w:rsid w:val="005313CE"/>
    <w:rsid w:val="005376A6"/>
    <w:rsid w:val="00541F53"/>
    <w:rsid w:val="0054634E"/>
    <w:rsid w:val="00552285"/>
    <w:rsid w:val="005528CB"/>
    <w:rsid w:val="00552A06"/>
    <w:rsid w:val="00553AE5"/>
    <w:rsid w:val="0055520E"/>
    <w:rsid w:val="0056011F"/>
    <w:rsid w:val="00570CB3"/>
    <w:rsid w:val="0057610B"/>
    <w:rsid w:val="005772C2"/>
    <w:rsid w:val="005873CE"/>
    <w:rsid w:val="005A1170"/>
    <w:rsid w:val="005A1E20"/>
    <w:rsid w:val="005A61D4"/>
    <w:rsid w:val="005B169A"/>
    <w:rsid w:val="005B3520"/>
    <w:rsid w:val="005C4FCE"/>
    <w:rsid w:val="005C60BF"/>
    <w:rsid w:val="005C6AA0"/>
    <w:rsid w:val="005C6B1E"/>
    <w:rsid w:val="005D3AC7"/>
    <w:rsid w:val="005E5BDF"/>
    <w:rsid w:val="005F01C6"/>
    <w:rsid w:val="005F26E4"/>
    <w:rsid w:val="005F2AB0"/>
    <w:rsid w:val="005F3EA6"/>
    <w:rsid w:val="00624224"/>
    <w:rsid w:val="00627744"/>
    <w:rsid w:val="006325B8"/>
    <w:rsid w:val="00635AD1"/>
    <w:rsid w:val="00646D06"/>
    <w:rsid w:val="00647703"/>
    <w:rsid w:val="00654DCD"/>
    <w:rsid w:val="0065702C"/>
    <w:rsid w:val="00672A25"/>
    <w:rsid w:val="0068646C"/>
    <w:rsid w:val="006865AD"/>
    <w:rsid w:val="00693271"/>
    <w:rsid w:val="00695152"/>
    <w:rsid w:val="006A03F4"/>
    <w:rsid w:val="006A325D"/>
    <w:rsid w:val="006A6367"/>
    <w:rsid w:val="006B4A7D"/>
    <w:rsid w:val="006B4B04"/>
    <w:rsid w:val="006B61BE"/>
    <w:rsid w:val="006B6E45"/>
    <w:rsid w:val="006C5F63"/>
    <w:rsid w:val="006C7D9F"/>
    <w:rsid w:val="006D3A1E"/>
    <w:rsid w:val="006D6C8F"/>
    <w:rsid w:val="006E4FB7"/>
    <w:rsid w:val="006E5D8F"/>
    <w:rsid w:val="006F02EF"/>
    <w:rsid w:val="006F2ECA"/>
    <w:rsid w:val="006F56B4"/>
    <w:rsid w:val="006F788F"/>
    <w:rsid w:val="00704F91"/>
    <w:rsid w:val="00717B27"/>
    <w:rsid w:val="007203BC"/>
    <w:rsid w:val="0072330F"/>
    <w:rsid w:val="00740F58"/>
    <w:rsid w:val="00744C96"/>
    <w:rsid w:val="00746AB1"/>
    <w:rsid w:val="0075178C"/>
    <w:rsid w:val="00760ACC"/>
    <w:rsid w:val="00763B88"/>
    <w:rsid w:val="00764DA5"/>
    <w:rsid w:val="00767FE8"/>
    <w:rsid w:val="00772A12"/>
    <w:rsid w:val="00772ACB"/>
    <w:rsid w:val="00792759"/>
    <w:rsid w:val="007A1343"/>
    <w:rsid w:val="007A175A"/>
    <w:rsid w:val="007A1DDD"/>
    <w:rsid w:val="007A6F9A"/>
    <w:rsid w:val="007A743A"/>
    <w:rsid w:val="007A799A"/>
    <w:rsid w:val="007C1351"/>
    <w:rsid w:val="007C5B8D"/>
    <w:rsid w:val="007D250D"/>
    <w:rsid w:val="007D7E0A"/>
    <w:rsid w:val="007E2356"/>
    <w:rsid w:val="007E5551"/>
    <w:rsid w:val="007F0845"/>
    <w:rsid w:val="007F0FCA"/>
    <w:rsid w:val="007F3CD9"/>
    <w:rsid w:val="007F6FA9"/>
    <w:rsid w:val="007F7A22"/>
    <w:rsid w:val="00802D6A"/>
    <w:rsid w:val="0081084C"/>
    <w:rsid w:val="0081139B"/>
    <w:rsid w:val="0081446E"/>
    <w:rsid w:val="00815834"/>
    <w:rsid w:val="00815C73"/>
    <w:rsid w:val="00816E9E"/>
    <w:rsid w:val="00821A51"/>
    <w:rsid w:val="00840893"/>
    <w:rsid w:val="00841149"/>
    <w:rsid w:val="00844F30"/>
    <w:rsid w:val="00852390"/>
    <w:rsid w:val="00853325"/>
    <w:rsid w:val="008534BE"/>
    <w:rsid w:val="00853DE9"/>
    <w:rsid w:val="0086209D"/>
    <w:rsid w:val="00862AF3"/>
    <w:rsid w:val="00864278"/>
    <w:rsid w:val="00867812"/>
    <w:rsid w:val="00867B92"/>
    <w:rsid w:val="00877EBB"/>
    <w:rsid w:val="00880BA7"/>
    <w:rsid w:val="008818EF"/>
    <w:rsid w:val="00883587"/>
    <w:rsid w:val="0088601E"/>
    <w:rsid w:val="00887595"/>
    <w:rsid w:val="008931C3"/>
    <w:rsid w:val="00893F04"/>
    <w:rsid w:val="008A05D7"/>
    <w:rsid w:val="008A1D8B"/>
    <w:rsid w:val="008B7F5C"/>
    <w:rsid w:val="008C085E"/>
    <w:rsid w:val="008C09FE"/>
    <w:rsid w:val="008C2B5A"/>
    <w:rsid w:val="008C3A9D"/>
    <w:rsid w:val="008C3ACD"/>
    <w:rsid w:val="008C4C5E"/>
    <w:rsid w:val="008D021D"/>
    <w:rsid w:val="008D08DB"/>
    <w:rsid w:val="008E4356"/>
    <w:rsid w:val="008E4EF6"/>
    <w:rsid w:val="008F6A56"/>
    <w:rsid w:val="00901BE9"/>
    <w:rsid w:val="00904429"/>
    <w:rsid w:val="00911D82"/>
    <w:rsid w:val="009122E2"/>
    <w:rsid w:val="00914E18"/>
    <w:rsid w:val="009158F3"/>
    <w:rsid w:val="0092647B"/>
    <w:rsid w:val="00933EBB"/>
    <w:rsid w:val="009476B3"/>
    <w:rsid w:val="00952302"/>
    <w:rsid w:val="00952658"/>
    <w:rsid w:val="00954939"/>
    <w:rsid w:val="0095671B"/>
    <w:rsid w:val="00960858"/>
    <w:rsid w:val="009614D1"/>
    <w:rsid w:val="0096416E"/>
    <w:rsid w:val="0096509E"/>
    <w:rsid w:val="00965D07"/>
    <w:rsid w:val="00966389"/>
    <w:rsid w:val="0097012F"/>
    <w:rsid w:val="0097478F"/>
    <w:rsid w:val="00983073"/>
    <w:rsid w:val="00985EC9"/>
    <w:rsid w:val="0098693F"/>
    <w:rsid w:val="00997154"/>
    <w:rsid w:val="009B0C37"/>
    <w:rsid w:val="009C29EE"/>
    <w:rsid w:val="009C76EC"/>
    <w:rsid w:val="009E07C5"/>
    <w:rsid w:val="009E17CC"/>
    <w:rsid w:val="009E1B50"/>
    <w:rsid w:val="009E3AA3"/>
    <w:rsid w:val="009E5A0A"/>
    <w:rsid w:val="009E6CEF"/>
    <w:rsid w:val="009E713F"/>
    <w:rsid w:val="009F32A6"/>
    <w:rsid w:val="009F678A"/>
    <w:rsid w:val="00A0367C"/>
    <w:rsid w:val="00A0669C"/>
    <w:rsid w:val="00A12582"/>
    <w:rsid w:val="00A23339"/>
    <w:rsid w:val="00A33B20"/>
    <w:rsid w:val="00A40F72"/>
    <w:rsid w:val="00A42CA8"/>
    <w:rsid w:val="00A55EA8"/>
    <w:rsid w:val="00A561D6"/>
    <w:rsid w:val="00A57259"/>
    <w:rsid w:val="00A6727B"/>
    <w:rsid w:val="00A73453"/>
    <w:rsid w:val="00A75185"/>
    <w:rsid w:val="00A7521B"/>
    <w:rsid w:val="00A76FED"/>
    <w:rsid w:val="00A910E9"/>
    <w:rsid w:val="00AA2512"/>
    <w:rsid w:val="00AA473C"/>
    <w:rsid w:val="00AA5351"/>
    <w:rsid w:val="00AA79EB"/>
    <w:rsid w:val="00AB0B2E"/>
    <w:rsid w:val="00AB1C7D"/>
    <w:rsid w:val="00AC0C75"/>
    <w:rsid w:val="00AC5F81"/>
    <w:rsid w:val="00AC66D6"/>
    <w:rsid w:val="00AD158E"/>
    <w:rsid w:val="00AD3F29"/>
    <w:rsid w:val="00AE0AFA"/>
    <w:rsid w:val="00AE227A"/>
    <w:rsid w:val="00AE26E7"/>
    <w:rsid w:val="00AE3A7D"/>
    <w:rsid w:val="00AF13B3"/>
    <w:rsid w:val="00AF7131"/>
    <w:rsid w:val="00B04B80"/>
    <w:rsid w:val="00B07E60"/>
    <w:rsid w:val="00B1202C"/>
    <w:rsid w:val="00B16EBB"/>
    <w:rsid w:val="00B2231F"/>
    <w:rsid w:val="00B24486"/>
    <w:rsid w:val="00B31B89"/>
    <w:rsid w:val="00B32687"/>
    <w:rsid w:val="00B364B0"/>
    <w:rsid w:val="00B400FA"/>
    <w:rsid w:val="00B46B8B"/>
    <w:rsid w:val="00B540ED"/>
    <w:rsid w:val="00B54B67"/>
    <w:rsid w:val="00B57E42"/>
    <w:rsid w:val="00B63222"/>
    <w:rsid w:val="00B639FD"/>
    <w:rsid w:val="00B66C22"/>
    <w:rsid w:val="00B672C4"/>
    <w:rsid w:val="00B6757E"/>
    <w:rsid w:val="00B71AC4"/>
    <w:rsid w:val="00B73302"/>
    <w:rsid w:val="00B743B6"/>
    <w:rsid w:val="00B76BA9"/>
    <w:rsid w:val="00B808ED"/>
    <w:rsid w:val="00B814D8"/>
    <w:rsid w:val="00B8459C"/>
    <w:rsid w:val="00BA17A0"/>
    <w:rsid w:val="00BA23CC"/>
    <w:rsid w:val="00BA29BA"/>
    <w:rsid w:val="00BB22A5"/>
    <w:rsid w:val="00BC5999"/>
    <w:rsid w:val="00BD2AA4"/>
    <w:rsid w:val="00BD4201"/>
    <w:rsid w:val="00BD77B9"/>
    <w:rsid w:val="00BE64EC"/>
    <w:rsid w:val="00BE679F"/>
    <w:rsid w:val="00C1244E"/>
    <w:rsid w:val="00C254DD"/>
    <w:rsid w:val="00C25512"/>
    <w:rsid w:val="00C36AAE"/>
    <w:rsid w:val="00C371B6"/>
    <w:rsid w:val="00C409C0"/>
    <w:rsid w:val="00C424B5"/>
    <w:rsid w:val="00C56048"/>
    <w:rsid w:val="00C562CA"/>
    <w:rsid w:val="00C57BDF"/>
    <w:rsid w:val="00C57D4A"/>
    <w:rsid w:val="00C608F6"/>
    <w:rsid w:val="00C60FFE"/>
    <w:rsid w:val="00C703D5"/>
    <w:rsid w:val="00C72C71"/>
    <w:rsid w:val="00C74734"/>
    <w:rsid w:val="00C75D8E"/>
    <w:rsid w:val="00C81750"/>
    <w:rsid w:val="00C8291A"/>
    <w:rsid w:val="00C90B2B"/>
    <w:rsid w:val="00C95322"/>
    <w:rsid w:val="00C96A16"/>
    <w:rsid w:val="00CA37C9"/>
    <w:rsid w:val="00CC0A4C"/>
    <w:rsid w:val="00CC2CB4"/>
    <w:rsid w:val="00CC43BF"/>
    <w:rsid w:val="00CC5217"/>
    <w:rsid w:val="00CC6BA4"/>
    <w:rsid w:val="00CD1304"/>
    <w:rsid w:val="00CD18CD"/>
    <w:rsid w:val="00CD2954"/>
    <w:rsid w:val="00CD66AD"/>
    <w:rsid w:val="00CD69A4"/>
    <w:rsid w:val="00CE5D5F"/>
    <w:rsid w:val="00D128FF"/>
    <w:rsid w:val="00D13891"/>
    <w:rsid w:val="00D14426"/>
    <w:rsid w:val="00D14D03"/>
    <w:rsid w:val="00D20454"/>
    <w:rsid w:val="00D32C74"/>
    <w:rsid w:val="00D40903"/>
    <w:rsid w:val="00D515FC"/>
    <w:rsid w:val="00D52BFC"/>
    <w:rsid w:val="00D56D14"/>
    <w:rsid w:val="00D6099E"/>
    <w:rsid w:val="00D6499B"/>
    <w:rsid w:val="00D7063C"/>
    <w:rsid w:val="00D7410F"/>
    <w:rsid w:val="00D77B3D"/>
    <w:rsid w:val="00D9336F"/>
    <w:rsid w:val="00D95BFF"/>
    <w:rsid w:val="00D9612E"/>
    <w:rsid w:val="00DA493A"/>
    <w:rsid w:val="00DA55D4"/>
    <w:rsid w:val="00DB49A4"/>
    <w:rsid w:val="00DB7233"/>
    <w:rsid w:val="00DB7260"/>
    <w:rsid w:val="00DB7683"/>
    <w:rsid w:val="00DC2829"/>
    <w:rsid w:val="00DC305C"/>
    <w:rsid w:val="00DC57A0"/>
    <w:rsid w:val="00DC6C18"/>
    <w:rsid w:val="00DD3D8B"/>
    <w:rsid w:val="00DE06BB"/>
    <w:rsid w:val="00DE644A"/>
    <w:rsid w:val="00DF09E3"/>
    <w:rsid w:val="00DF0AF1"/>
    <w:rsid w:val="00DF59E8"/>
    <w:rsid w:val="00DF6679"/>
    <w:rsid w:val="00E05018"/>
    <w:rsid w:val="00E07956"/>
    <w:rsid w:val="00E1022E"/>
    <w:rsid w:val="00E15D08"/>
    <w:rsid w:val="00E1628B"/>
    <w:rsid w:val="00E17943"/>
    <w:rsid w:val="00E26B46"/>
    <w:rsid w:val="00E3337F"/>
    <w:rsid w:val="00E3771E"/>
    <w:rsid w:val="00E50B44"/>
    <w:rsid w:val="00E52850"/>
    <w:rsid w:val="00E529BE"/>
    <w:rsid w:val="00E60C22"/>
    <w:rsid w:val="00E625FA"/>
    <w:rsid w:val="00E64411"/>
    <w:rsid w:val="00E86D7D"/>
    <w:rsid w:val="00E9092C"/>
    <w:rsid w:val="00E978BB"/>
    <w:rsid w:val="00EA061A"/>
    <w:rsid w:val="00EA4D24"/>
    <w:rsid w:val="00EA5527"/>
    <w:rsid w:val="00ED0A9B"/>
    <w:rsid w:val="00ED50DC"/>
    <w:rsid w:val="00ED792B"/>
    <w:rsid w:val="00EE656C"/>
    <w:rsid w:val="00EE67CE"/>
    <w:rsid w:val="00EF2477"/>
    <w:rsid w:val="00EF70CE"/>
    <w:rsid w:val="00EF7336"/>
    <w:rsid w:val="00F03000"/>
    <w:rsid w:val="00F0385D"/>
    <w:rsid w:val="00F2345E"/>
    <w:rsid w:val="00F23821"/>
    <w:rsid w:val="00F26A8B"/>
    <w:rsid w:val="00F3045A"/>
    <w:rsid w:val="00F36B9E"/>
    <w:rsid w:val="00F412B3"/>
    <w:rsid w:val="00F4258E"/>
    <w:rsid w:val="00F47064"/>
    <w:rsid w:val="00F5105E"/>
    <w:rsid w:val="00F558DA"/>
    <w:rsid w:val="00F71A5B"/>
    <w:rsid w:val="00F91336"/>
    <w:rsid w:val="00F924A0"/>
    <w:rsid w:val="00F94EA6"/>
    <w:rsid w:val="00FB1D71"/>
    <w:rsid w:val="00FB52FF"/>
    <w:rsid w:val="00FC5712"/>
    <w:rsid w:val="00FC5BE8"/>
    <w:rsid w:val="00FE379C"/>
    <w:rsid w:val="00FF5D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6F90"/>
  <w15:docId w15:val="{1299D39B-A306-4524-B1F7-7BE834E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A7D"/>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List Paragraph1,Evidence on Demand bullet points,Bullet List Paragraph,Use Case List Paragraph,normal,Heading 2_sj,Dot pt,Numbered Para 1,No Spacing1,List Paragraph Char Char Char,Indicator Text,Bullet 1,Bullet Points,MAIN CONTENT,ANNEX"/>
    <w:basedOn w:val="Normal"/>
    <w:link w:val="ListParagraphChar"/>
    <w:uiPriority w:val="34"/>
    <w:qFormat/>
    <w:rsid w:val="00AE3A7D"/>
    <w:pPr>
      <w:ind w:left="720"/>
      <w:contextualSpacing/>
    </w:pPr>
  </w:style>
  <w:style w:type="character" w:styleId="Hyperlink">
    <w:name w:val="Hyperlink"/>
    <w:basedOn w:val="DefaultParagraphFont"/>
    <w:uiPriority w:val="99"/>
    <w:unhideWhenUsed/>
    <w:rsid w:val="0096509E"/>
    <w:rPr>
      <w:color w:val="0563C1" w:themeColor="hyperlink"/>
      <w:u w:val="single"/>
    </w:rPr>
  </w:style>
  <w:style w:type="paragraph" w:styleId="Header">
    <w:name w:val="header"/>
    <w:basedOn w:val="Normal"/>
    <w:link w:val="HeaderChar"/>
    <w:uiPriority w:val="99"/>
    <w:unhideWhenUsed/>
    <w:rsid w:val="003C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FB"/>
  </w:style>
  <w:style w:type="paragraph" w:styleId="Footer">
    <w:name w:val="footer"/>
    <w:basedOn w:val="Normal"/>
    <w:link w:val="FooterChar"/>
    <w:uiPriority w:val="99"/>
    <w:unhideWhenUsed/>
    <w:rsid w:val="003C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FB"/>
  </w:style>
  <w:style w:type="character" w:customStyle="1" w:styleId="ListParagraphChar">
    <w:name w:val="List Paragraph Char"/>
    <w:aliases w:val="List Paragraph1 Char,Evidence on Demand bullet points Char,Bullet List Paragraph Char,Use Case List Paragraph Char,normal Char,Heading 2_sj Char,Dot pt Char,Numbered Para 1 Char,No Spacing1 Char,List Paragraph Char Char Char Char"/>
    <w:link w:val="ListParagraph"/>
    <w:uiPriority w:val="34"/>
    <w:qFormat/>
    <w:locked/>
    <w:rsid w:val="00A57259"/>
  </w:style>
  <w:style w:type="character" w:styleId="CommentReference">
    <w:name w:val="annotation reference"/>
    <w:basedOn w:val="DefaultParagraphFont"/>
    <w:uiPriority w:val="99"/>
    <w:unhideWhenUsed/>
    <w:rsid w:val="008818EF"/>
    <w:rPr>
      <w:sz w:val="16"/>
      <w:szCs w:val="16"/>
    </w:rPr>
  </w:style>
  <w:style w:type="paragraph" w:styleId="CommentText">
    <w:name w:val="annotation text"/>
    <w:basedOn w:val="Normal"/>
    <w:link w:val="CommentTextChar"/>
    <w:uiPriority w:val="99"/>
    <w:unhideWhenUsed/>
    <w:rsid w:val="008818EF"/>
    <w:pPr>
      <w:spacing w:after="160" w:line="240" w:lineRule="auto"/>
    </w:pPr>
    <w:rPr>
      <w:sz w:val="20"/>
      <w:szCs w:val="20"/>
    </w:rPr>
  </w:style>
  <w:style w:type="character" w:customStyle="1" w:styleId="CommentTextChar">
    <w:name w:val="Comment Text Char"/>
    <w:basedOn w:val="DefaultParagraphFont"/>
    <w:link w:val="CommentText"/>
    <w:uiPriority w:val="99"/>
    <w:rsid w:val="008818EF"/>
    <w:rPr>
      <w:sz w:val="20"/>
      <w:szCs w:val="20"/>
    </w:rPr>
  </w:style>
  <w:style w:type="paragraph" w:styleId="BalloonText">
    <w:name w:val="Balloon Text"/>
    <w:basedOn w:val="Normal"/>
    <w:link w:val="BalloonTextChar"/>
    <w:uiPriority w:val="99"/>
    <w:semiHidden/>
    <w:unhideWhenUsed/>
    <w:rsid w:val="0088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8EF"/>
    <w:rPr>
      <w:rFonts w:ascii="Segoe UI" w:hAnsi="Segoe UI" w:cs="Segoe UI"/>
      <w:sz w:val="18"/>
      <w:szCs w:val="18"/>
    </w:rPr>
  </w:style>
  <w:style w:type="character" w:styleId="PageNumber">
    <w:name w:val="page number"/>
    <w:basedOn w:val="DefaultParagraphFont"/>
    <w:uiPriority w:val="99"/>
    <w:rsid w:val="008818EF"/>
  </w:style>
  <w:style w:type="paragraph" w:styleId="NormalWeb">
    <w:name w:val="Normal (Web)"/>
    <w:basedOn w:val="Normal"/>
    <w:uiPriority w:val="99"/>
    <w:semiHidden/>
    <w:unhideWhenUsed/>
    <w:rsid w:val="00FB1D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04E1F"/>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6B61BE"/>
    <w:pPr>
      <w:widowControl w:val="0"/>
      <w:autoSpaceDE w:val="0"/>
      <w:autoSpaceDN w:val="0"/>
      <w:adjustRightInd w:val="0"/>
      <w:spacing w:after="0" w:line="298" w:lineRule="exact"/>
      <w:jc w:val="both"/>
    </w:pPr>
    <w:rPr>
      <w:rFonts w:ascii="Arial" w:eastAsia="Times New Roman" w:hAnsi="Arial" w:cs="Arial"/>
      <w:sz w:val="24"/>
      <w:szCs w:val="24"/>
    </w:rPr>
  </w:style>
  <w:style w:type="character" w:customStyle="1" w:styleId="FontStyle20">
    <w:name w:val="Font Style20"/>
    <w:uiPriority w:val="99"/>
    <w:rsid w:val="006B61BE"/>
    <w:rPr>
      <w:rFonts w:ascii="Arial" w:hAnsi="Arial" w:cs="Arial"/>
      <w:b/>
      <w:bCs/>
      <w:i/>
      <w:iCs/>
      <w:color w:val="000000"/>
      <w:sz w:val="20"/>
      <w:szCs w:val="20"/>
    </w:rPr>
  </w:style>
  <w:style w:type="paragraph" w:styleId="NoSpacing">
    <w:name w:val="No Spacing"/>
    <w:basedOn w:val="Normal"/>
    <w:uiPriority w:val="1"/>
    <w:unhideWhenUsed/>
    <w:qFormat/>
    <w:rsid w:val="008E4356"/>
    <w:pPr>
      <w:spacing w:after="0" w:line="240" w:lineRule="auto"/>
    </w:pPr>
    <w:rPr>
      <w:rFonts w:ascii="Arial" w:hAnsi="Arial"/>
      <w:lang w:val="de-DE"/>
    </w:rPr>
  </w:style>
  <w:style w:type="character" w:customStyle="1" w:styleId="FontStyle21">
    <w:name w:val="Font Style21"/>
    <w:uiPriority w:val="99"/>
    <w:rsid w:val="008E4356"/>
    <w:rPr>
      <w:rFonts w:ascii="Arial" w:hAnsi="Arial" w:cs="Arial" w:hint="default"/>
      <w:b/>
      <w:bCs/>
      <w:color w:val="000000"/>
      <w:sz w:val="20"/>
      <w:szCs w:val="20"/>
    </w:rPr>
  </w:style>
  <w:style w:type="paragraph" w:customStyle="1" w:styleId="gmail-m-4670398845297504799style3">
    <w:name w:val="gmail-m_-4670398845297504799style3"/>
    <w:basedOn w:val="Normal"/>
    <w:rsid w:val="008E4356"/>
    <w:pPr>
      <w:spacing w:before="100" w:beforeAutospacing="1" w:after="100" w:afterAutospacing="1" w:line="240" w:lineRule="auto"/>
    </w:pPr>
    <w:rPr>
      <w:rFonts w:ascii="Calibri" w:hAnsi="Calibri" w:cs="Calibri"/>
      <w:lang w:val="en-IN" w:eastAsia="en-IN"/>
    </w:rPr>
  </w:style>
  <w:style w:type="character" w:customStyle="1" w:styleId="gmail-m-4670398845297504799fontstyle21">
    <w:name w:val="gmail-m_-4670398845297504799fontstyle21"/>
    <w:basedOn w:val="DefaultParagraphFont"/>
    <w:rsid w:val="008E4356"/>
  </w:style>
  <w:style w:type="paragraph" w:customStyle="1" w:styleId="SpiegelB">
    <w:name w:val="Spiegel (B)"/>
    <w:basedOn w:val="Normal"/>
    <w:rsid w:val="000F3536"/>
    <w:pPr>
      <w:tabs>
        <w:tab w:val="left" w:pos="7371"/>
      </w:tabs>
      <w:spacing w:after="0" w:line="360" w:lineRule="atLeast"/>
      <w:ind w:left="1276" w:hanging="426"/>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4CC0-E553-4803-87C6-EF043E52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 Nidhin GIZ IN</dc:creator>
  <cp:lastModifiedBy>Dhar, Sanjay GIZ IN</cp:lastModifiedBy>
  <cp:revision>23</cp:revision>
  <dcterms:created xsi:type="dcterms:W3CDTF">2021-06-27T07:41:00Z</dcterms:created>
  <dcterms:modified xsi:type="dcterms:W3CDTF">2021-09-04T08:44:00Z</dcterms:modified>
</cp:coreProperties>
</file>