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contextualSpacing w:val="false"/>
        <w:rPr>
          <w:rFonts w:ascii="Times New Roman" w:cs="Times New Roman" w:eastAsia="Times New Roman" w:hAnsi="Times New Roman"/>
          <w:b/>
        </w:rPr>
      </w:pPr>
    </w:p>
    <w:p>
      <w:pPr>
        <w:pStyle w:val="style0"/>
        <w:jc w:val="center"/>
        <w:contextualSpacing w:val="false"/>
        <w:rPr>
          <w:rFonts w:ascii="Times New Roman" w:cs="Times New Roman" w:eastAsia="Times New Roman" w:hAnsi="Times New Roman"/>
          <w:b/>
        </w:rPr>
      </w:pPr>
    </w:p>
    <w:p>
      <w:pPr>
        <w:pStyle w:val="style0"/>
        <w:jc w:val="center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INVITATION TO BIDDING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November 15, 2021</w:t>
      </w:r>
    </w:p>
    <w:p>
      <w:pPr>
        <w:pStyle w:val="style0"/>
        <w:spacing w:before="0"/>
        <w:contextualSpacing w:val="false"/>
        <w:rPr>
          <w:rFonts w:ascii="Times New Roman" w:cs="Times New Roman" w:eastAsia="Times New Roman" w:hAnsi="Times New Roman"/>
        </w:rPr>
      </w:pPr>
    </w:p>
    <w:tbl>
      <w:tblPr>
        <w:tblStyle w:val="style4104"/>
        <w:tblW w:w="9405" w:type="dxa"/>
        <w:jc w:val="left"/>
        <w:tblInd w:w="0" w:type="dxa"/>
        <w:tblLayout w:type="fixed"/>
        <w:tblLook w:val="0400" w:firstRow="0" w:lastRow="0" w:firstColumn="0" w:lastColumn="0" w:noHBand="0" w:noVBand="1"/>
      </w:tblPr>
      <w:tblGrid>
        <w:gridCol w:w="3288"/>
        <w:gridCol w:w="6117"/>
      </w:tblGrid>
      <w:tr>
        <w:trPr>
          <w:jc w:val="left"/>
        </w:trPr>
        <w:tc>
          <w:tcPr>
            <w:tcW w:w="0" w:type="auto"/>
            <w:tcBorders/>
          </w:tcPr>
          <w:p>
            <w:pPr>
              <w:pStyle w:val="style0"/>
              <w:ind w:hanging="105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Title of Bid Selection:</w:t>
            </w:r>
          </w:p>
        </w:tc>
        <w:tc>
          <w:tcPr>
            <w:tcW w:w="0" w:type="auto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TURN KEY (EPC) CONTRACT FOR SELECTING CONTRACTOR OF ENGINEERING, PROCUREMENT AND CONSTRUCTION WORKS OF COAL HANDLING AND PREPARATION PLANT OF “ERDENES TAVANTOLGOI” JSC </w:t>
            </w:r>
          </w:p>
        </w:tc>
      </w:tr>
      <w:tr>
        <w:tblPrEx/>
        <w:trPr>
          <w:jc w:val="left"/>
        </w:trPr>
        <w:tc>
          <w:tcPr>
            <w:tcW w:w="0" w:type="auto"/>
            <w:tcBorders/>
          </w:tcPr>
          <w:p>
            <w:pPr>
              <w:pStyle w:val="style0"/>
              <w:ind w:left="-105"/>
              <w:contextualSpacing w:val="false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</w:p>
        </w:tc>
      </w:tr>
    </w:tbl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i/>
        </w:rPr>
        <w:t xml:space="preserve">“Erdenes Tavantolgoi” JSC </w:t>
      </w:r>
      <w:r>
        <w:rPr>
          <w:rFonts w:ascii="Times New Roman" w:cs="Times New Roman" w:eastAsia="Times New Roman" w:hAnsi="Times New Roman"/>
        </w:rPr>
        <w:t xml:space="preserve">would like to invite eligible Bidders to submit sealed hard copy and soft copy bids on </w:t>
      </w:r>
      <w:r>
        <w:rPr>
          <w:rFonts w:ascii="Times New Roman" w:cs="Times New Roman" w:eastAsia="Times New Roman" w:hAnsi="Times New Roman"/>
          <w:b/>
          <w:i/>
        </w:rPr>
        <w:t>Turn Key (EPC) contract for selecting contractor of Engineering, Procurement and Construction works of Coal handling and preparation plant</w:t>
      </w:r>
      <w:r>
        <w:rPr>
          <w:rFonts w:ascii="Times New Roman" w:cs="Times New Roman" w:eastAsia="Times New Roman" w:hAnsi="Times New Roman"/>
        </w:rPr>
        <w:t xml:space="preserve">. 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Bid (additional copy if needed) can be obtained by based on a written request and by paying </w:t>
      </w:r>
      <w:r>
        <w:rPr>
          <w:rFonts w:ascii="Times New Roman" w:cs="Times New Roman" w:eastAsia="Times New Roman" w:hAnsi="Times New Roman"/>
          <w:b/>
          <w:i/>
        </w:rPr>
        <w:t>50,000</w:t>
      </w:r>
      <w:r>
        <w:rPr>
          <w:rFonts w:ascii="Times New Roman" w:cs="Times New Roman" w:eastAsia="Times New Roman" w:hAnsi="Times New Roman"/>
        </w:rPr>
        <w:t xml:space="preserve">MNT or other equal convertible currencies. The payment shall be transferred to 1505008702MNT account and 1505008703USD account of “Erdenes Tavantolgoi” JSC at Golomt Bank (SWIFT Code: GLMTMNUB). 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Bids shall be valid for thirty (30) days after it is opened.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The following document is required: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Special permits to develop construction drawings, or other similar documents;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contextualSpacing w:val="false"/>
        <w:rPr>
          <w:rFonts w:ascii="Times New Roman" w:cs="Times New Roman" w:eastAsia="Times New Roman" w:hAnsi="Times New Roman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Special permits of constructions works, or other similar documents;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contextualSpacing w:val="false"/>
        <w:rPr>
          <w:rFonts w:ascii="Times New Roman" w:cs="Times New Roman" w:eastAsia="Times New Roman" w:hAnsi="Times New Roman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Special permits to develop engineering drawings, or other similar documents;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contextualSpacing w:val="false"/>
        <w:rPr>
          <w:rFonts w:ascii="Times New Roman" w:cs="Times New Roman" w:eastAsia="Times New Roman" w:hAnsi="Times New Roman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Special permits to conduct industrial construction works, or other similar documents</w:t>
      </w:r>
      <w:r>
        <w:rPr>
          <w:rFonts w:ascii="Times New Roman" w:cs="Times New Roman" w:eastAsia="Times New Roman" w:hAnsi="Times New Roman"/>
          <w:b/>
          <w:i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.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contextualSpacing w:val="false"/>
        <w:rPr>
          <w:rFonts w:ascii="Times New Roman" w:cs="Times New Roman" w:eastAsia="Times New Roman" w:hAnsi="Times New Roman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Special permits to conduct industrial construction works, or other similar documents.</w:t>
      </w: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b/>
          <w:i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9,564,478,661 (nine billion, five hundred sixty-four million, four hundred seventy-eight thousand and six hundred sixty-one) </w:t>
      </w:r>
      <w:r>
        <w:rPr>
          <w:rFonts w:ascii="Times New Roman" w:cs="Times New Roman" w:eastAsia="Times New Roman" w:hAnsi="Times New Roman"/>
        </w:rPr>
        <w:t xml:space="preserve">MNT or other equal convertible currencies shall be sent along with the Bid as the tender guarantee. 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Bids shall be delivered to “Erdenes Tavantolgoi” JSC at the address below before 2.00 pm Ulaanbaatar time on </w:t>
      </w:r>
      <w:r>
        <w:rPr>
          <w:rFonts w:ascii="Times New Roman" w:cs="Times New Roman" w:eastAsia="Times New Roman" w:hAnsi="Times New Roman"/>
          <w:b/>
          <w:i/>
        </w:rPr>
        <w:t>December 15, 2021</w:t>
      </w:r>
      <w:r>
        <w:rPr>
          <w:rFonts w:ascii="Times New Roman" w:cs="Times New Roman" w:eastAsia="Times New Roman" w:hAnsi="Times New Roman"/>
        </w:rPr>
        <w:t xml:space="preserve">, and will be opened at 2.30 pm on </w:t>
      </w:r>
      <w:r>
        <w:rPr>
          <w:rFonts w:ascii="Times New Roman" w:cs="Times New Roman" w:eastAsia="Times New Roman" w:hAnsi="Times New Roman"/>
          <w:b/>
          <w:i/>
        </w:rPr>
        <w:t>December 15, 2021</w:t>
      </w:r>
      <w:r>
        <w:rPr>
          <w:rFonts w:ascii="Times New Roman" w:cs="Times New Roman" w:eastAsia="Times New Roman" w:hAnsi="Times New Roman"/>
        </w:rPr>
        <w:t xml:space="preserve"> in the presence of the Bidders interested to be part of the opening.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The foreign entities are eligible to participate. 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Bidders can obtain the Bid Document and other information from us at the following address:</w:t>
      </w:r>
    </w:p>
    <w:p>
      <w:pPr>
        <w:pStyle w:val="style0"/>
        <w:spacing w:before="0" w:after="0"/>
        <w:contextualSpacing w:val="false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>“Erdenes Tavantolgoi” JSC</w:t>
      </w: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>Finance Center, Jigjidjav Street 8</w:t>
      </w: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>1st khoroo, Chingeltei District</w:t>
      </w: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>Ulaanbaatar-15160, Mongolia</w:t>
      </w:r>
    </w:p>
    <w:p>
      <w:pPr>
        <w:pStyle w:val="style0"/>
        <w:tabs>
          <w:tab w:val="left" w:leader="none" w:pos="731"/>
          <w:tab w:val="right" w:leader="none" w:pos="7272"/>
        </w:tabs>
        <w:jc w:val="center"/>
        <w:contextualSpacing w:val="false"/>
        <w:rPr>
          <w:rFonts w:ascii="Arial" w:cs="Arial" w:eastAsia="Arial" w:hAnsi="Arial"/>
          <w:i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>Сontacts:</w:t>
      </w:r>
    </w:p>
    <w:tbl>
      <w:tblPr>
        <w:tblStyle w:val="style4105"/>
        <w:tblW w:w="7344" w:type="dxa"/>
        <w:jc w:val="left"/>
        <w:tblInd w:w="108" w:type="dxa"/>
        <w:tblLayout w:type="fixed"/>
        <w:tblLook w:val="0400" w:firstRow="0" w:lastRow="0" w:firstColumn="0" w:lastColumn="0" w:noHBand="0" w:noVBand="1"/>
      </w:tblPr>
      <w:tblGrid>
        <w:gridCol w:w="7122"/>
        <w:gridCol w:w="222"/>
      </w:tblGrid>
      <w:tr>
        <w:trPr>
          <w:trHeight w:val="420" w:hRule="atLeast"/>
          <w:jc w:val="left"/>
        </w:trPr>
        <w:tc>
          <w:tcPr>
            <w:tcW w:w="0" w:type="auto"/>
            <w:tcBorders/>
            <w:shd w:val="clear" w:color="auto" w:fill="auto"/>
          </w:tcPr>
          <w:p>
            <w:pPr>
              <w:pStyle w:val="style0"/>
              <w:tabs>
                <w:tab w:val="left" w:leader="none" w:pos="731"/>
                <w:tab w:val="right" w:leader="none" w:pos="7272"/>
              </w:tabs>
              <w:ind w:firstLine="2189"/>
              <w:jc w:val="center"/>
              <w:contextualSpacing w:val="false"/>
              <w:rPr>
                <w:rFonts w:ascii="Arial" w:cs="Arial" w:eastAsia="Arial" w:hAnsi="Arial"/>
                <w:i/>
                <w:sz w:val="20"/>
                <w:szCs w:val="20"/>
              </w:rPr>
            </w:pPr>
            <w:r>
              <w:rPr>
                <w:rFonts w:ascii="Arial" w:cs="Arial" w:eastAsia="Arial" w:hAnsi="Arial"/>
                <w:i/>
                <w:sz w:val="20"/>
                <w:szCs w:val="20"/>
              </w:rPr>
              <w:t>Bayartsetseg.B</w:t>
            </w:r>
          </w:p>
          <w:p>
            <w:pPr>
              <w:pStyle w:val="style0"/>
              <w:tabs>
                <w:tab w:val="left" w:leader="none" w:pos="731"/>
                <w:tab w:val="right" w:leader="none" w:pos="7272"/>
              </w:tabs>
              <w:ind w:firstLine="2189"/>
              <w:jc w:val="center"/>
              <w:contextualSpacing w:val="false"/>
              <w:rPr>
                <w:rFonts w:ascii="Arial" w:cs="Arial" w:eastAsia="Arial" w:hAnsi="Arial"/>
                <w:i/>
                <w:sz w:val="20"/>
                <w:szCs w:val="20"/>
              </w:rPr>
            </w:pPr>
            <w:r>
              <w:rPr>
                <w:rFonts w:ascii="Arial" w:cs="Arial" w:eastAsia="Arial" w:hAnsi="Arial"/>
                <w:i/>
                <w:sz w:val="20"/>
                <w:szCs w:val="20"/>
              </w:rPr>
              <w:t>E-mail: bayartsetseg.b@erdenestt.mn</w:t>
            </w:r>
          </w:p>
          <w:p>
            <w:pPr>
              <w:pStyle w:val="style0"/>
              <w:tabs>
                <w:tab w:val="left" w:leader="none" w:pos="731"/>
                <w:tab w:val="right" w:leader="none" w:pos="7272"/>
              </w:tabs>
              <w:ind w:firstLine="2189"/>
              <w:jc w:val="center"/>
              <w:contextualSpacing w:val="false"/>
              <w:rPr>
                <w:rFonts w:ascii="Arial" w:cs="Arial" w:eastAsia="Arial" w:hAnsi="Arial"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31"/>
                <w:tab w:val="right" w:leader="none" w:pos="7272"/>
              </w:tabs>
              <w:ind w:firstLine="2189"/>
              <w:jc w:val="center"/>
              <w:contextualSpacing w:val="false"/>
              <w:rPr>
                <w:rFonts w:ascii="Arial" w:cs="Arial" w:eastAsia="Arial" w:hAnsi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/>
            <w:shd w:val="clear" w:color="auto" w:fill="auto"/>
          </w:tcPr>
          <w:p>
            <w:pPr>
              <w:pStyle w:val="style0"/>
              <w:tabs>
                <w:tab w:val="left" w:leader="none" w:pos="731"/>
                <w:tab w:val="right" w:leader="none" w:pos="7272"/>
              </w:tabs>
              <w:ind w:firstLine="2189"/>
              <w:jc w:val="center"/>
              <w:contextualSpacing w:val="false"/>
              <w:rPr>
                <w:rFonts w:ascii="Arial" w:cs="Arial" w:eastAsia="Arial" w:hAnsi="Arial"/>
                <w:i/>
                <w:sz w:val="20"/>
                <w:szCs w:val="20"/>
              </w:rPr>
            </w:pPr>
          </w:p>
        </w:tc>
      </w:tr>
    </w:tbl>
    <w:p>
      <w:pPr>
        <w:pStyle w:val="style0"/>
        <w:contextualSpacing w:val="false"/>
        <w:rPr/>
      </w:pPr>
    </w:p>
    <w:p>
      <w:pPr>
        <w:pStyle w:val="style0"/>
        <w:contextualSpacing w:val="false"/>
        <w:rPr/>
      </w:pPr>
    </w:p>
    <w:sectPr>
      <w:pgSz w:w="12240" w:h="15840" w:orient="portrait"/>
      <w:pgMar w:top="1134" w:right="1134" w:bottom="1134" w:left="1701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73" w:hanging="360"/>
      </w:pPr>
    </w:lvl>
    <w:lvl w:ilvl="2">
      <w:start w:val="1"/>
      <w:numFmt w:val="decimal"/>
      <w:lvlText w:val="%3."/>
      <w:lvlJc w:val="left"/>
      <w:pPr>
        <w:ind w:left="1248" w:hanging="435"/>
      </w:pPr>
      <w:rPr>
        <w:b w:val="false"/>
        <w:i w:val="false"/>
      </w:rPr>
    </w:lvl>
    <w:lvl w:ilvl="3">
      <w:start w:val="1"/>
      <w:numFmt w:val="decimal"/>
      <w:lvlText w:val="%4."/>
      <w:lvlJc w:val="left"/>
      <w:pPr>
        <w:ind w:left="1713" w:hanging="360"/>
      </w:pPr>
    </w:lvl>
    <w:lvl w:ilvl="4">
      <w:start w:val="1"/>
      <w:numFmt w:val="lowerLetter"/>
      <w:lvlText w:val="%5."/>
      <w:lvlJc w:val="left"/>
      <w:pPr>
        <w:ind w:left="2433" w:hanging="360"/>
      </w:pPr>
    </w:lvl>
    <w:lvl w:ilvl="5">
      <w:start w:val="1"/>
      <w:numFmt w:val="lowerRoman"/>
      <w:lvlText w:val="%6."/>
      <w:lvlJc w:val="right"/>
      <w:pPr>
        <w:ind w:left="3153" w:hanging="180"/>
      </w:pPr>
    </w:lvl>
    <w:lvl w:ilvl="6">
      <w:start w:val="1"/>
      <w:numFmt w:val="decimal"/>
      <w:lvlText w:val="%7."/>
      <w:lvlJc w:val="left"/>
      <w:pPr>
        <w:ind w:left="3873" w:hanging="360"/>
      </w:pPr>
    </w:lvl>
    <w:lvl w:ilvl="7">
      <w:start w:val="1"/>
      <w:numFmt w:val="lowerLetter"/>
      <w:lvlText w:val="%8."/>
      <w:lvlJc w:val="left"/>
      <w:pPr>
        <w:ind w:left="4593" w:hanging="360"/>
      </w:pPr>
    </w:lvl>
    <w:lvl w:ilvl="8">
      <w:start w:val="1"/>
      <w:numFmt w:val="lowerRoman"/>
      <w:lvlText w:val="%9."/>
      <w:lvlJc w:val="right"/>
      <w:pPr>
        <w:ind w:left="5313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  <w:jc w:val="both"/>
    </w:pPr>
    <w:rPr>
      <w:rFonts w:ascii="Tms Rmn" w:cs="Times New Roman" w:eastAsia="Times New Roman" w:hAnsi="Tms Rmn"/>
      <w:sz w:val="24"/>
      <w:szCs w:val="20"/>
    </w:rPr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character" w:customStyle="1" w:styleId="style4099">
    <w:name w:val="Heading 2 Char_32125921-a741-4e8e-a6aa-579502b43c20"/>
    <w:basedOn w:val="style65"/>
    <w:next w:val="style4099"/>
    <w:link w:val="style2"/>
    <w:uiPriority w:val="9"/>
    <w:rPr>
      <w:rFonts w:ascii="Arial" w:cs="Arial" w:eastAsia="Times New Roman" w:hAnsi="Arial"/>
      <w:b/>
      <w:bCs/>
      <w:i/>
      <w:iCs/>
      <w:sz w:val="28"/>
      <w:szCs w:val="28"/>
    </w:rPr>
  </w:style>
  <w:style w:type="paragraph" w:styleId="style67">
    <w:name w:val="Body Text Indent"/>
    <w:basedOn w:val="style0"/>
    <w:next w:val="style67"/>
    <w:link w:val="style4100"/>
    <w:pPr>
      <w:tabs>
        <w:tab w:val="left" w:leader="none" w:pos="1440"/>
      </w:tabs>
      <w:ind w:left="1440" w:hanging="745"/>
    </w:pPr>
    <w:rPr/>
  </w:style>
  <w:style w:type="character" w:customStyle="1" w:styleId="style4100">
    <w:name w:val="Body Text Indent Char"/>
    <w:basedOn w:val="style65"/>
    <w:next w:val="style4100"/>
    <w:link w:val="style67"/>
    <w:rPr>
      <w:rFonts w:ascii="Tms Rmn" w:cs="Times New Roman" w:eastAsia="Times New Roman" w:hAnsi="Tms Rmn"/>
      <w:sz w:val="24"/>
      <w:szCs w:val="20"/>
    </w:rPr>
  </w:style>
  <w:style w:type="character" w:styleId="style38">
    <w:name w:val="footnote reference"/>
    <w:next w:val="style38"/>
    <w:rPr>
      <w:vertAlign w:val="superscript"/>
    </w:rPr>
  </w:style>
  <w:style w:type="paragraph" w:styleId="style29">
    <w:name w:val="footnote text"/>
    <w:basedOn w:val="style0"/>
    <w:next w:val="style29"/>
    <w:link w:val="style4101"/>
    <w:pPr>
      <w:jc w:val="left"/>
    </w:pPr>
    <w:rPr>
      <w:rFonts w:ascii="Times New Roman" w:hAnsi="Times New Roman"/>
      <w:sz w:val="20"/>
    </w:rPr>
  </w:style>
  <w:style w:type="character" w:customStyle="1" w:styleId="style4101">
    <w:name w:val="Footnote Text Char"/>
    <w:basedOn w:val="style65"/>
    <w:next w:val="style4101"/>
    <w:link w:val="style29"/>
    <w:rPr>
      <w:rFonts w:ascii="Times New Roman" w:cs="Times New Roman" w:eastAsia="Times New Roman" w:hAnsi="Times New Roman"/>
      <w:sz w:val="20"/>
      <w:szCs w:val="20"/>
    </w:rPr>
  </w:style>
  <w:style w:type="paragraph" w:styleId="style179">
    <w:name w:val="List Paragraph"/>
    <w:basedOn w:val="style0"/>
    <w:next w:val="style179"/>
    <w:link w:val="style4102"/>
    <w:qFormat/>
    <w:uiPriority w:val="34"/>
    <w:pPr>
      <w:ind w:left="720"/>
    </w:pPr>
    <w:rPr/>
  </w:style>
  <w:style w:type="character" w:customStyle="1" w:styleId="style4102">
    <w:name w:val="List Paragraph Char"/>
    <w:next w:val="style4102"/>
    <w:link w:val="style179"/>
    <w:uiPriority w:val="34"/>
    <w:rPr>
      <w:rFonts w:ascii="Tms Rmn" w:cs="Times New Roman" w:eastAsia="Times New Roman" w:hAnsi="Tms Rmn"/>
      <w:sz w:val="24"/>
      <w:szCs w:val="20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Segoe UI" w:cs="Segoe UI" w:hAnsi="Segoe UI"/>
      <w:sz w:val="18"/>
      <w:szCs w:val="18"/>
    </w:rPr>
  </w:style>
  <w:style w:type="character" w:customStyle="1" w:styleId="style4103">
    <w:name w:val="Balloon Text Char"/>
    <w:basedOn w:val="style65"/>
    <w:next w:val="style4103"/>
    <w:link w:val="style153"/>
    <w:uiPriority w:val="99"/>
    <w:rPr>
      <w:rFonts w:ascii="Segoe UI" w:cs="Segoe UI" w:eastAsia="Times New Roman" w:hAnsi="Segoe UI"/>
      <w:sz w:val="18"/>
      <w:szCs w:val="18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4">
    <w:basedOn w:val="style105"/>
    <w:next w:val="style410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5">
    <w:basedOn w:val="style105"/>
    <w:next w:val="style410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300</Words>
  <Characters>1767</Characters>
  <Application>WPS Office</Application>
  <Paragraphs>50</Paragraphs>
  <CharactersWithSpaces>2062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2021-11-16T08:24:32Z</dcterms:created>
  <dc:creator>WPS Office</dc:creator>
  <lastModifiedBy>M2003J15SC</lastModifiedBy>
  <dcterms:modified xsi:type="dcterms:W3CDTF">2021-11-16T08:24:32Z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